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60" w:leader="none"/>
        </w:tabs>
        <w:spacing w:lineRule="auto" w:line="360" w:after="200"/>
        <w:rPr>
          <w:rFonts w:eastAsia="MS Mincho;Times"/>
        </w:rPr>
      </w:pPr>
      <w:r>
        <w:rPr>
          <w:rFonts w:eastAsia="MS Mincho;Times" w:ascii="Times New Roman" w:hAnsi="Times New Roman"/>
          <w:sz w:val="20"/>
          <w:lang w:val="en-US"/>
        </w:rPr>
        <w:t>This document is a supplement to Dinosauria, second edition, edited by David B. Weishampel, Peter Dodson, and Halszka Osmolska (Berkeley: University of California Press, 2004). For other supplements and for more information about the book, please visit http://dinosauria.ucpress.edu.</w:t>
      </w:r>
    </w:p>
    <w:p>
      <w:pPr>
        <w:pStyle w:val="Normal"/>
        <w:tabs>
          <w:tab w:val="clear" w:pos="720"/>
          <w:tab w:val="left" w:pos="360" w:leader="none"/>
        </w:tabs>
        <w:spacing w:lineRule="auto" w:line="360"/>
        <w:rPr>
          <w:rFonts w:eastAsia="MS Mincho;Times"/>
        </w:rPr>
      </w:pPr>
      <w:r>
        <w:rPr>
          <w:rFonts w:eastAsia="MS Mincho;Times" w:ascii="Times New Roman" w:hAnsi="Times New Roman"/>
          <w:lang w:val="en-US"/>
        </w:rPr>
      </w:r>
    </w:p>
    <w:p>
      <w:pPr>
        <w:pStyle w:val="Normal"/>
        <w:tabs>
          <w:tab w:val="clear" w:pos="720"/>
          <w:tab w:val="left" w:pos="360" w:leader="none"/>
        </w:tabs>
        <w:spacing w:lineRule="auto" w:line="360"/>
        <w:rPr>
          <w:rFonts w:eastAsia="MS Mincho;Times"/>
        </w:rPr>
      </w:pPr>
      <w:r>
        <w:rPr>
          <w:rFonts w:eastAsia="MS Mincho;Times" w:ascii="Times New Roman" w:hAnsi="Times New Roman"/>
          <w:lang w:val="en-US"/>
        </w:rPr>
      </w:r>
    </w:p>
    <w:p>
      <w:pPr>
        <w:pStyle w:val="Heading1"/>
        <w:tabs>
          <w:tab w:val="clear" w:pos="720"/>
          <w:tab w:val="left" w:pos="360" w:leader="none"/>
        </w:tabs>
        <w:spacing w:lineRule="auto" w:line="360"/>
        <w:rPr>
          <w:rFonts w:eastAsia="MS Mincho;Times"/>
        </w:rPr>
      </w:pPr>
      <w:r>
        <w:rPr>
          <w:rFonts w:eastAsia="MS Mincho;Times" w:ascii="Times New Roman" w:hAnsi="Times New Roman"/>
          <w:lang w:val="en-US"/>
        </w:rPr>
        <w:t>Appendix 1.1</w:t>
      </w:r>
    </w:p>
    <w:p>
      <w:pPr>
        <w:pStyle w:val="Heading2"/>
        <w:spacing w:lineRule="auto" w:line="360"/>
        <w:rPr>
          <w:rFonts w:eastAsia="MS Mincho;Times"/>
        </w:rPr>
      </w:pPr>
      <w:r>
        <w:rPr>
          <w:rFonts w:eastAsia="MS Mincho;Times" w:ascii="Times New Roman" w:hAnsi="Times New Roman"/>
          <w:lang w:val="en-US"/>
        </w:rPr>
        <w:t>Character Description</w:t>
      </w:r>
    </w:p>
    <w:p>
      <w:pPr>
        <w:pStyle w:val="Heading3"/>
        <w:spacing w:lineRule="auto" w:line="360"/>
        <w:rPr>
          <w:rFonts w:eastAsia="MS Mincho;Times"/>
        </w:rPr>
      </w:pPr>
      <w:r>
        <w:rPr>
          <w:rFonts w:eastAsia="MS Mincho;Times" w:ascii="Times New Roman" w:hAnsi="Times New Roman"/>
          <w:lang w:val="en-US"/>
        </w:rPr>
        <w:t xml:space="preserve">Archosauria </w:t>
      </w:r>
    </w:p>
    <w:p>
      <w:pPr>
        <w:pStyle w:val="Normal"/>
        <w:spacing w:lineRule="auto" w:line="360"/>
        <w:rPr/>
      </w:pPr>
      <w:r>
        <w:rPr>
          <w:rFonts w:eastAsia="MS Mincho;Times" w:ascii="Times New Roman" w:hAnsi="Times New Roman"/>
          <w:lang w:val="en-US"/>
        </w:rPr>
        <w:t>Characters were chosen from the 300 or so available in prior publications. The original citation of each character, as well as the source of any major redefinition of the character, is given. Most characters are binary (0, 1), but several are multistate (0–4). In the latter cases</w:t>
      </w:r>
      <w:r>
        <w:rPr>
          <w:rFonts w:eastAsia="MS Mincho;Times" w:ascii="Times New Roman" w:hAnsi="Times New Roman"/>
          <w:color w:val="0000FF"/>
          <w:lang w:val="en-US"/>
        </w:rPr>
        <w:t>,</w:t>
      </w:r>
      <w:r>
        <w:rPr>
          <w:rFonts w:eastAsia="MS Mincho;Times" w:ascii="Times New Roman" w:hAnsi="Times New Roman"/>
          <w:lang w:val="en-US"/>
        </w:rPr>
        <w:t xml:space="preserve"> no order of transformation is assumed. </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Skull length: less (0) or more (1) than 50% of length of the presacral vertebral column (Sereno 1991a, character 33).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Slitlike fenestra between premaxilla and maxilla in juvenile stages, above and behind the maxillary-premaxillary kinetic joint: absent (0), present (1) (Benton and Clark 1988; Juul 1994, character 37; Alcober 2000).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Maxillary-premaxillary kinetic joint, with a peg on the maxilla fitting into a socket on the premaxilla: absent (0), present (1) (Parrish 1993; Gower 2000; Alcober 2000).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Antorbital fenestra: absent (0), present (1) (Benton 1985; Juul 1994, character 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Antorbital fossa, depressed regions on the maxilla and lacrimal forming a definite inset margin to the antorbital fenestra: absent (0), present (1) (Benton 1985; Juul 1994, character 17).</w:t>
      </w:r>
    </w:p>
    <w:p>
      <w:pPr>
        <w:pStyle w:val="Normal"/>
        <w:spacing w:lineRule="auto" w:line="360" w:after="80"/>
        <w:rPr/>
        <w:keepLines w:val="0"/>
        <w:numPr>
          <w:ilvl w:val="0"/>
          <w:numId w:val="1"/>
        </w:numPr>
      </w:pPr>
      <w:r>
        <w:rPr>
          <w:rFonts w:eastAsia="MS Mincho;Times" w:ascii="Times New Roman" w:hAnsi="Times New Roman"/>
          <w:lang w:val="en-US"/>
        </w:rPr>
        <w:t>Antorbital fenestra shape: elliptical or circular (0), triangular</w:t>
      </w:r>
      <w:r>
        <w:rPr>
          <w:rFonts w:eastAsia="MS Mincho;Times" w:ascii="Times New Roman" w:hAnsi="Times New Roman"/>
          <w:color w:val="0000FF"/>
          <w:lang w:val="en-US"/>
        </w:rPr>
        <w:t>,</w:t>
      </w:r>
      <w:r>
        <w:rPr>
          <w:rFonts w:eastAsia="MS Mincho;Times" w:ascii="Times New Roman" w:hAnsi="Times New Roman"/>
          <w:lang w:val="en-US"/>
        </w:rPr>
        <w:t xml:space="preserve"> with elongate narrow rostral point (1) (Benton and Clark 1988; Alcober 2000).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Jugal-lacrimal articular relation, in lateral view: lacrimal overlaps jugal (0), jugal overlaps lacrimal (1) (Sereno and Novas 1993, character 16).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Jugal caudal process, shape: tapering (0), forked (1) (Sereno and Novas 1993, character 17).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Postfrontal: equivalent in size to the postorbital (0), reduced to less than half the dimensions of the postorbital (1), absent (2) (Benton 1985; Gauthier 1986; Benton and Clark 1988; Juul 1994, character 16; Bennett 1996).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Postorbital-jugal bar behind orbit: curved or straight (0), “stepped," with distinct rostral projection (1) (Benton and Clark 1988; Juul 1994, character 38; Alcober 2000).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Infratemporal fenestra, relative size and shape: larger than supratemporal fenestra and elliptical (0), smaller than supratemporal fenestra and triangular (1) (Benton and Clark 1988; Juul 1994, character 31).</w:t>
      </w:r>
    </w:p>
    <w:p>
      <w:pPr>
        <w:pStyle w:val="Normal"/>
        <w:spacing w:lineRule="auto" w:line="360" w:after="80"/>
        <w:rPr/>
        <w:keepLines w:val="0"/>
        <w:numPr>
          <w:ilvl w:val="0"/>
          <w:numId w:val="1"/>
        </w:numPr>
      </w:pPr>
      <w:r>
        <w:rPr>
          <w:rFonts w:eastAsia="MS Mincho;Times" w:ascii="Times New Roman" w:hAnsi="Times New Roman"/>
          <w:lang w:val="en-US"/>
        </w:rPr>
        <w:t>Squamosal overhanging quadrate and quadratojugal laterally: absent (0), present</w:t>
      </w:r>
      <w:r>
        <w:rPr>
          <w:rFonts w:eastAsia="MS Mincho;Times" w:ascii="Times New Roman" w:hAnsi="Times New Roman"/>
          <w:color w:val="0000FF"/>
          <w:lang w:val="en-US"/>
        </w:rPr>
        <w:t>,</w:t>
      </w:r>
      <w:r>
        <w:rPr>
          <w:rFonts w:eastAsia="MS Mincho;Times" w:ascii="Times New Roman" w:hAnsi="Times New Roman"/>
          <w:lang w:val="en-US"/>
        </w:rPr>
        <w:t xml:space="preserve"> contacting the infratemporal fenestra dorsally (1), present</w:t>
      </w:r>
      <w:r>
        <w:rPr>
          <w:rFonts w:eastAsia="MS Mincho;Times" w:ascii="Times New Roman" w:hAnsi="Times New Roman"/>
          <w:color w:val="0000FF"/>
          <w:lang w:val="en-US"/>
        </w:rPr>
        <w:t>,</w:t>
      </w:r>
      <w:r>
        <w:rPr>
          <w:rFonts w:eastAsia="MS Mincho;Times" w:ascii="Times New Roman" w:hAnsi="Times New Roman"/>
          <w:lang w:val="en-US"/>
        </w:rPr>
        <w:t xml:space="preserve"> excluded from the rim of the infratemporal fenestra by postorbital and quadratojugal (2) (Benton and Clark 1988; Juul 1994, character 74).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Quadrate dorsal head in lateral aspect: hidden by squamosal (0), exposed (1) (Sereno and Novas 1992a; Juul 1994, character 64).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Parietal foramen: present (0), absent (1) (Benton 1985; Juul 1994, character 11).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Supratemporal bones: present (0), absent (1) (Benton and Clark 1988).</w:t>
      </w:r>
    </w:p>
    <w:p>
      <w:pPr>
        <w:pStyle w:val="Normal"/>
        <w:spacing w:lineRule="auto" w:line="360" w:after="80"/>
        <w:rPr/>
        <w:keepLines w:val="0"/>
        <w:numPr>
          <w:ilvl w:val="0"/>
          <w:numId w:val="1"/>
        </w:numPr>
      </w:pPr>
      <w:r>
        <w:rPr>
          <w:rFonts w:eastAsia="MS Mincho;Times" w:ascii="Times New Roman" w:hAnsi="Times New Roman"/>
          <w:lang w:val="en-US"/>
        </w:rPr>
        <w:t>Pterygoid medial contact: absent (0), present</w:t>
      </w:r>
      <w:r>
        <w:rPr>
          <w:rFonts w:eastAsia="MS Mincho;Times" w:ascii="Times New Roman" w:hAnsi="Times New Roman"/>
          <w:color w:val="0000FF"/>
          <w:lang w:val="en-US"/>
        </w:rPr>
        <w:t>,</w:t>
      </w:r>
      <w:r>
        <w:rPr>
          <w:rFonts w:eastAsia="MS Mincho;Times" w:ascii="Times New Roman" w:hAnsi="Times New Roman"/>
          <w:lang w:val="en-US"/>
        </w:rPr>
        <w:t xml:space="preserve"> for at least one third of their length (1) (Benton and Clark 1988; Juul 1994:7).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Parasphenoid cultriform process shape: rodlike (0), dorsoventrally expanded wedge (1) (Parrish 1993; Juul 1994, character 70).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Ossified laterosphenoid: absent (0), present (1) (Benton and Clark 1988; Clark et al. 1993; Juul 1994, character 2).</w:t>
      </w:r>
    </w:p>
    <w:p>
      <w:pPr>
        <w:pStyle w:val="Normal"/>
        <w:spacing w:lineRule="auto" w:line="360" w:after="80"/>
        <w:rPr/>
        <w:keepLines w:val="0"/>
        <w:numPr>
          <w:ilvl w:val="0"/>
          <w:numId w:val="1"/>
        </w:numPr>
      </w:pPr>
      <w:r>
        <w:rPr>
          <w:rFonts w:eastAsia="MS Mincho;Times" w:ascii="Times New Roman" w:hAnsi="Times New Roman"/>
          <w:lang w:val="en-US"/>
        </w:rPr>
        <w:t>Basisphenoid orientation: horizontal (0), vertical</w:t>
      </w:r>
      <w:r>
        <w:rPr>
          <w:rFonts w:eastAsia="MS Mincho;Times" w:ascii="Times New Roman" w:hAnsi="Times New Roman"/>
          <w:color w:val="0000FF"/>
          <w:lang w:val="en-US"/>
        </w:rPr>
        <w:t>,</w:t>
      </w:r>
      <w:r>
        <w:rPr>
          <w:rFonts w:eastAsia="MS Mincho;Times" w:ascii="Times New Roman" w:hAnsi="Times New Roman"/>
          <w:lang w:val="en-US"/>
        </w:rPr>
        <w:t xml:space="preserve"> with basipterygoid processes ventral as well as rostral to basal tubera (1) (Gower and Sennikov 1996, character 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Basisphenoid intertuberal plate, a horizontal plate expanding back beneath the basisphenoid/basioccipital contact: present (0), absent (1) (Gower and Sennikov 1996, character 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Basisphenoid, position of foramina for the cerebral branches of the internal carotid arteries leading to the pituitary fossa: ventral or caudoventral (0), lateral (1) (Parrish 1993; Gower and Sennikov 1996, character 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Basisphenoid basal tubera with semilunar depression on lateral face: present (0), absent (1) (Gower and Sennikov 1996, character 11).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Prootic midline contact on endocranial cavity floor: absent (0), present (1) (Gower and Sennikov 1996, character 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Prootic, position of external abducens foramina (c.n. VI): on ventral (0) or rostral (1) surface (Gower and Sennikov 1996, character 4; the two character states were reversed by Gower and Sennikov [1996:897]).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Teeth with serrated margins: absent (0), present (1) (Juul 1994, character 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Marginal teeth: conical (0), bilaterally compressed (1) (Benton 1985; Juul 1994, character 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Palatal teeth on palatine and vomer: present (0), absent (1) (Gauthier 1986; Sereno 1991a, character 1; Juul 1994, character 23).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Teeth on transverse process of pterygoid: present (0), absent (1) (Juul 1994, character 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External mandibular fenestra: absent (0), present (1) (Juul 1994, character 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Intramandibular joint: absent or poorly developed (0), well developed (1) (Gauthier 1986; Sereno and Novas 1993; Juul 1994, character 73).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Centrum shape in presacrals 6–9 (or 10), in lateral view: subrectangular (0), parallelogram-shaped (1) (Gauthier 1986; Sereno 1991a, character AA).</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Length of presacral centrum 8/length of presacral centrum 18: less (0) or more (1) than 1.0 (Gauthier 1986; Juul 1994, character 65).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Cervical ribs: slender (0), short and stout (1) (Gauthier 1986; Benton and Clark 1988; Juul 1994, character 26).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Postaxial intercentra: present (0), absent (1) (Gauthier 1986; Juul 1994, character 18).</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Spine tables (expanded apex, when viewed from above) on neural spines of trunk vertebrae: absent (0), present (1) (Gauthier 1986; Juul 1994, character 20).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Hyposphene-hypantrum accessory intervertebral articulations in trunk vertebrae: absent (0), present (1) (Gauthier 1986; Juul 1994, character 66).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Accessory process on proximal face of neural spine of midcaudal vertebrae: absent (0), present (1) (Krebs 1965:48–50; Benton and Clark 1988; Sereno 1991a, character 23; Juul 1994, character 34).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Clavicle: present (0), rudimentary or absent (1) (Gauthier 1986; Sereno 1991a, character 24).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Interclavicle: present (0), absent (1) (Gauthier 1986; Juul 1994, character 44).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Interclavicle lateral processes: elongate, making interclavicle T-shaped (0), reduced (1) (Sereno 1991a:6).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Scapula length: less (0) or more (1) than twice the maximum craniocaudal width, more than three times the maximum craniocaudal width (2) (Benton 1985; Gauthier 1986).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Scapulocoracoid notch at cranial junction of scapula and coracoid: absent (0), present (1) (Parrish 1993, character 14).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Forelimb-hindlimb length ratio: more than 0.55 (0), less than 0.55 (1) (Gauthier 1986; Sereno 1991a, character BB; Juul 1994, character 45).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Deltopectoral crest on humerus: rounded (0), subrectangular (1) (Sereno 1991a, character 25; Juul 1994, character 51).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Deltopectoral crest elongate and apex situated at a point corresponding to less (0) or more (1) than 38% down the length of the humerus (Benton 1990a; Juul 1994, character 591).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Manual digit I: metacarpal I and ungual phalanx similar in size to those of manual digits II–V (0), metacarpal I robust and half or less the length of metacarpal II, first phalanx longer than metacarpal I or any other phalanx in the hand, ungual phalanx  of digit I much larger than other unguals (1) (Gauthier 1986; Benton 1990a).</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Manual digits I–III: comparatively short with blunt unguals on at least digits II and III (0), long penultimate phalanx with trenchant unguals on digits I–III (1) (Gauthier 1986; Juul 1994, character 69).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Metacarpal IV and V bases: lie more or less in the same plane as the inner metacarpals (0), lie on palmar surfaces of manual digits III and IV, respectively (1) (Gauthier 1986; Juul 1994, character 67).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Manual digit IV: five (0), four (1), fewer than four (2) phalanges (Gauthier 1986; Benton and Clark 1988; Sereno 1993, character 10).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Preacetabular process on iliac blade: absent (0), present (1) (Benton 1985; Juul 1994, character 8).</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Brevis shelf on ventral surface of postacetabular part of ilium: absent (0), present (1) (Gauthier 1986; Juul 1994, character 47).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Acetabulum: mainly laterally oriented (0), mainly ventrally oriented (1) (Benton and Clark 1988; Juul 1994, character 36).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Acetabulum: imperforate (0), semiperforated (1), extensively perforated (2) (Gauthier 1986; Juul 1994, character 60).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Acetabular antitrochanter on ilium and ischium: absent (0), present (1) (Sereno and Arcucci 1994, character 121).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Pubis length: less (0) or more (1) than three times the width of the acetabulum (Sereno 1991acharacter 13; Juul 1994, character 35).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Pubic acetabular margin, caudal portion: continuous with cranial portion (0), recessed (1) (Sereno 1991a, character 14).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Pubic tuber seen in lateral view: cranioventrally directed (0), strongly downturned (1) (Benton 1985; Juul 1994, character 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Ischium caudoventral process: small and ischium shorter than iliac blade (0), large and ischium longer than iliac blade (1) (Benton 1985; Benton and Clark 1988; Juul 1994, character 10).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Tibia-femur ratio: less than 1.0 (0), equal to or more than 1.0 (1) (Gauthier 1986; Sereno 1991a, character 27; Juul 1994, character 48).</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Femoral head: rounded and not distinctly offset (0), subrectangular and distinctly offset (1) (Gauthier 1986; Juul 1994, character 61).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Femoral head articular surface: limited extent (0), extends under head (1) (Sereno and Arcucci 1994, character 14).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Intertrochanteric fossa on ventral aspect of proximal portion of femur: present (0), absent (1) (Juul 1994, character 12).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Fossa trochanterica on proximal face of femoral head: absent (0), present (1) (Novas 1996a, character 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Femoral cranial trochanter: absent (0), trochanteric shelf (1), spike or crest (2) (Gauthier 1986; Novas 1992a; Juul 1994, character 42).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Cnemial crest on tibia: absent (0), present (1) (Gauthier 1986; Benton and Clark 1988; Juul 1994, character 43).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Tibial distal end: unexpanded, or only slightly expanded, and rounded (0), transversely expanded with a subrectangular end (1) (Gauthier 1986; Novas 1996a, character 11).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Tibia with caudolateral flange, with receiving depression on dorsal aspect of astragalus: absent (0), present (1) (Novas 1992a; Juul 1994, character 62).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Fibular cranial trochanter (insertion site for iliofibularis muscle): low rugosity (0), robust pendent trochanter (1) (Sereno 1991a, character 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Fibula and calcaneum shape: unreduced (0), fibula tapering and calcaneum reduced in size (1) (Gauthier 1986; Juul 1994, character 49).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Ventral astragalocalcaneal articular facet: smaller (0) or larger (1) than dorsal articulation (Sereno 1991a, character 11).</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Crural facets on astragalus separated by a nonarticular surface (0) or continuous (1) (Sereno 1991a, character 3; Juul 1994, character 19).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Astragalar tibial facet: concave (0), flexed or convex (1) (Sereno 1991a, character 7; Juul 1994, character 28, wrongly given as “fibular facet”).</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Astragalar ascending process on cranial face of tibia: absent (0), present (1) (Gauthier 1986; Novas 1992a).</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Astragalar caudal (= ventral) groove: present (0), absent (1) (Sereno 1991a, character 28; Gower 1996:353).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Astragalar craniomedial corner shape: obtuse (0), acute (1) (Sereno 1991a, character CC; Juul 1994, character 55).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proximal articular face: convex or flat (0), concave (1) (Novas 1992a; Juul 1994, character 63).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distal articular face: transverse width more (0) or less (1) than 35% of that of the astragalus (Sereno 1991a, character DD; Juul 1994, character 56).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tuber: prominent (0), rudimentary or absent (1) (Gauthier 1986; Sereno 1991a, character 29; Juul 1994, character 52).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tuber orientation: lateral (0), deflected more than 45º caudolaterally (1) (Sereno 1991a, character 2; Juul 1994, character 24).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tuber shaft proportions: taller than broad (0), broader than tall (1) (Sereno 1991a, character 9; Juul 1994, character 29).</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tuber distal end: craniocaudally compressed (0), rounded (1) (Sereno 1991a, character 10; Juu1 1994, character 30).</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Calcaneal tuber distal end, with vertical median depression: absent (0), present (1) (Parrish 1993, character 21; Juul 1994, character 72).</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Articular surfaces for fibula and distal tarsal 4 on calcaneum: separated by a nonarticular surface (0), continuous (1) (Sereno 1991a, character 3; Juul 1994, character 25).</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Hemicylindrical calcaneal condyle for articulation with fibula: absent (0), present (1) (Sereno 1991a, character 8; Juul 1994, character 27).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Centrale: present (0), absent (1) (Gower 1996).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Distal tarsal 1: present (0), absent (1) (Gower 1996).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Distal tarsal 2: present (0), absent (1) (Gower 1996).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Distal tarsal 4: transverse width broader than (0) or subequal to (1) distal tarsal 3 (Sereno 1991a, character 30; Juul 1994, character 53).</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Distal tarsal 4, size of articular facet for metatarsal V: more (0) or less (1) than half of lateral surface of distal tarsal 4 (Sereno 1991a, character EE).</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Metatarsus configuration: metatarsals diverging from ankle (0), compact metatarsus with metatarsals I–IV tightly bunched (Benton and Clark 1988; Sereno 1991a, character 31; Juul 1994, character 50).</w:t>
      </w:r>
    </w:p>
    <w:p>
      <w:pPr>
        <w:pStyle w:val="Normal"/>
        <w:spacing w:lineRule="auto" w:line="360" w:after="80"/>
        <w:rPr/>
        <w:keepLines w:val="0"/>
        <w:numPr>
          <w:ilvl w:val="0"/>
          <w:numId w:val="1"/>
        </w:numPr>
      </w:pPr>
      <w:r>
        <w:rPr>
          <w:rFonts w:eastAsia="MS Mincho;Times" w:ascii="Times New Roman" w:hAnsi="Times New Roman"/>
          <w:lang w:val="en-US"/>
        </w:rPr>
        <w:t xml:space="preserve">Metatarsal midshaft diameters: I and V subequal or greater than II–IV (0), </w:t>
      </w:r>
      <w:r>
        <w:rPr>
          <w:rFonts w:eastAsia="MS Mincho;Times" w:ascii="Times New Roman" w:hAnsi="Times New Roman"/>
          <w:color w:val="FF0000"/>
          <w:lang w:val="en-US"/>
        </w:rPr>
        <w:t>I</w:t>
      </w:r>
      <w:r>
        <w:rPr>
          <w:rFonts w:eastAsia="MS Mincho;Times" w:ascii="Times New Roman" w:hAnsi="Times New Roman"/>
          <w:lang w:val="en-US"/>
        </w:rPr>
        <w:t xml:space="preserve"> and V less than II–IV (1) (Sereno 1991a, character GG; Juul 1994, character 58).</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Metatarsal I length relative to length of metatarsal III: 50–75% (0), 85% or greater (1) (Sereno 1991a, character 36).</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Metatarsals II–IV length: less (0) or greater (1) than 50% of tibial length [Sereno 1991a, character 32; Juul 1994, character 54).</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Metatarsal V, hooked proximal end: present (0), absent, and articular face for distal tarsal 4 subparallel to shaft axis (1) (Sereno 1991a, character FF; Juul 1994, character 57).</w:t>
      </w:r>
    </w:p>
    <w:p>
      <w:pPr>
        <w:pStyle w:val="Normal"/>
        <w:spacing w:lineRule="auto" w:line="360" w:after="80"/>
        <w:rPr>
          <w:rFonts w:eastAsia="MS Mincho;Times"/>
        </w:rPr>
        <w:keepLines w:val="0"/>
        <w:numPr>
          <w:ilvl w:val="0"/>
          <w:numId w:val="1"/>
        </w:numPr>
      </w:pPr>
      <w:r>
        <w:rPr>
          <w:rFonts w:eastAsia="MS Mincho;Times" w:ascii="Times New Roman" w:hAnsi="Times New Roman"/>
          <w:lang w:val="en-US"/>
        </w:rPr>
        <w:t>Osteoderm sculpture: absent (0), present (1) (Parrish 1993, character 16).</w:t>
      </w:r>
    </w:p>
    <w:p>
      <w:pPr>
        <w:pStyle w:val="Normal"/>
        <w:spacing w:lineRule="auto" w:line="360"/>
        <w:rPr>
          <w:rFonts w:eastAsia="MS Mincho;Times"/>
        </w:rPr>
      </w:pPr>
      <w:r>
        <w:rPr>
          <w:rFonts w:eastAsia="MS Mincho;Times" w:ascii="Times New Roman" w:hAnsi="Times New Roman"/>
          <w:lang w:val="en-US"/>
        </w:rPr>
      </w:r>
    </w:p>
    <w:sectPr>
      <w:headerReference w:type="default" r:id="rId2"/>
      <w:footerReference w:type="default" r:id="rId6"/>
      <w:type w:val="nextPage"/>
      <w:pgSz w:w="12240" w:h="15840"/>
      <w:pgMar w:left="1440" w:right="1440" w:gutter="0" w:header="504" w:top="1440" w:footer="504" w:bottom="144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2"/>
    <w:family w:val="auto"/>
    <w:pitch w:val="variable"/>
  </w:font>
  <w:font w:name="Liberation Sans">
    <w:altName w:val="Arial"/>
    <w:charset w:val="01"/>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000" w:leader="none"/>
      </w:tabs>
      <w:ind w:end="360"/>
      <w:rPr>
        <w:sz w:val="20"/>
      </w:rPr>
    </w:pPr>
  </w:p>
</w:hdr>
</file>

<file path=word/numbering.xml><?xml version="1.0" encoding="utf-8"?>
<w:numbering xmlns:w="http://schemas.openxmlformats.org/wordprocessingml/2006/main">
  <w:abstractNum w:abstractNumId="1">
    <w:multiLevelType w:val="singleLevel"/>
    <w:lvl w:ilvl="0">
      <w:start w:val="1"/>
      <w:numFmt w:val="decimal"/>
      <w:lvlText w:val="%1."/>
      <w:suff w:val="space"/>
      <w:pPr>
        <w:tabs>
          <w:tab w:val="num" w:pos="480"/>
        </w:tabs>
        <w:ind w:left="480" w:hanging="360"/>
      </w:pPr>
    </w:lvl>
  </w:abstractNum>
  <w:num w:numId="1">
    <w:abstractNumId w:val="1"/>
  </w:num>
</w:numbering>
</file>

<file path=word/settings.xml><?xml version="1.0" encoding="utf-8"?>
<w:settings xmlns:w="http://schemas.openxmlformats.org/wordprocessingml/2006/main">
  <w:zoom w:percent="75"/>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character" w:styleId="WW8Num5z0">
    <w:name w:val="WW8Num5z0"/>
    <w:qFormat/>
    <w:rPr>
      <w:rFonts w:ascii="Symbol" w:hAnsi="Symbol" w:eastAsia="Times New Roman" w:cs="Symbol"/>
    </w:rPr>
  </w:style>
  <w:style w:type="character" w:styleId="WW8Num6z0">
    <w:name w:val="WW8Num6z0"/>
    <w:qFormat/>
    <w:rPr>
      <w:rFonts w:ascii="Symbol" w:hAnsi="Symbol" w:eastAsia="Times New Roman" w:cs="Symbol"/>
    </w:rPr>
  </w:style>
  <w:style w:type="character" w:styleId="WW8Num7z0">
    <w:name w:val="WW8Num7z0"/>
    <w:qFormat/>
    <w:rPr>
      <w:rFonts w:ascii="Symbol" w:hAnsi="Symbol" w:eastAsia="Times New Roman" w:cs="Symbol"/>
    </w:rPr>
  </w:style>
  <w:style w:type="character" w:styleId="WW8Num8z0">
    <w:name w:val="WW8Num8z0"/>
    <w:qFormat/>
    <w:rPr>
      <w:rFonts w:ascii="Symbol" w:hAnsi="Symbol" w:eastAsia="Times New Roman" w:cs="Symbol"/>
    </w:rPr>
  </w:style>
  <w:style w:type="character" w:styleId="WW8Num10z0">
    <w:name w:val="WW8Num10z0"/>
    <w:qFormat/>
    <w:rPr>
      <w:rFonts w:ascii="Symbol" w:hAnsi="Symbol" w:eastAsia="Times New Roman" w:cs="Symbol"/>
    </w:rPr>
  </w:style>
  <w:style w:type="character" w:styleId="DefaultParagraphFont">
    <w:name w:val="Default Paragraph Font"/>
    <w:qFormat/>
    <w:rPr/>
  </w:style>
  <w:style w:type="character" w:styleId="CommentReference">
    <w:name w:val="Comment Reference"/>
    <w:basedOn w:val="DefaultParagraphFont"/>
    <w:qFormat/>
    <w:rPr>
      <w:sz w:val="16"/>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CommentText">
    <w:name w:val="Comment Text"/>
    <w:basedOn w:val="Normal"/>
    <w:qFormat/>
    <w:pPr/>
    <w:rPr>
      <w:sz w:val="20"/>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paragraph" w:customStyle="1" w:styleId="Heading1">
    <w:name w:val="heading 1"/>
    <w:pPr>
      <w:keepNext/>
      <w:spacing w:before="200" w:after="80"/>
    </w:pPr>
    <w:rPr>
      <w:rFonts w:ascii="Times New Roman" w:hAnsi="Times New Roman"/>
      <w:b/>
      <w:color w:val="7A1F1F"/>
      <w:sz w:val="32"/>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2004-11-23T16:08:00Z</dcterms:created>
  <dc:creator>Dave Weishampel</dc:creator>
  <dc:description>Accessibility-remediated edition with semantic headings, lists, and tables.</dc:description>
  <dc:language>en-US</dc:language>
  <cp:lastModifiedBy>John Connolly</cp:lastModifiedBy>
  <cp:lastPrinted>2004-03-10T11:49:00Z</cp:lastPrinted>
  <dcterms:modified xsi:type="dcterms:W3CDTF">2004-11-24T15:12:00Z</dcterms:modified>
  <cp:revision>3</cp:revision>
  <dc:subject>Accessible supplement to Dinosauria, second edition</dc:subject>
  <dc:title>Appendix 1.1 — Character Description — Archosauria</dc:title>
  <cp:keywords>Dinosauria; paleontology; character descriptions; character-taxon matrix; accessible Word document</cp:keywords>
</cp:coreProperties>
</file>