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after="200"/>
        <w:rPr/>
      </w:pPr>
      <w:r>
        <w:rPr>
          <w:rFonts w:ascii="Times New Roman" w:hAnsi="Times New Roman"/>
          <w:b w:val="0"/>
          <w:color w:val="000000"/>
          <w:sz w:val="20"/>
          <w:lang w:val="en-US"/>
        </w:rPr>
        <w:t xml:space="preserve">This document is a supplement to Dinosauria, second edition, edited by David B. Weishampel, Peter Dodson, and Halszka Osmolska (Berkeley: University of California Press, 2004). For other supplements and for more information about the book, please visit </w:t>
      </w:r>
      <w:hyperlink r:id="rId7">
        <w:r>
          <w:rPr>
            <w:rFonts w:ascii="Times New Roman" w:hAnsi="Times New Roman"/>
            <w:sz w:val="20"/>
            <w:b w:val="0"/>
            <w:color w:val="0563C1"/>
            <w:u w:val="single"/>
          </w:rPr>
          <w:t>Dinosauria supplemental materials website</w:t>
        </w:r>
      </w:hyperlink>
      <w:r>
        <w:rPr>
          <w:rFonts w:ascii="Times New Roman" w:hAnsi="Times New Roman"/>
          <w:b w:val="0"/>
          <w:color w:val="000000"/>
          <w:sz w:val="20"/>
          <w:lang w:val="en-US"/>
        </w:rPr>
        <w:t>.</w:t>
      </w:r>
    </w:p>
    <w:p>
      <w:pPr>
        <w:pStyle w:val="Normal"/>
        <w:spacing w:lineRule="auto" w:line="360"/>
        <w:rPr/>
      </w:pPr>
      <w:r>
        <w:rPr>
          <w:rFonts w:ascii="Times New Roman" w:hAnsi="Times New Roman"/>
          <w:lang w:val="en-US"/>
        </w:rPr>
      </w:r>
    </w:p>
    <w:p>
      <w:pPr>
        <w:pStyle w:val="Normal"/>
        <w:spacing w:lineRule="auto" w:line="360"/>
        <w:rPr/>
      </w:pPr>
      <w:r>
        <w:rPr>
          <w:rFonts w:ascii="Times New Roman" w:hAnsi="Times New Roman"/>
          <w:lang w:val="en-US"/>
        </w:rPr>
      </w:r>
    </w:p>
    <w:p>
      <w:pPr>
        <w:pStyle w:val="Heading1"/>
        <w:spacing w:lineRule="auto" w:line="360"/>
        <w:rPr/>
      </w:pPr>
      <w:r>
        <w:rPr>
          <w:rFonts w:ascii="Times New Roman" w:hAnsi="Times New Roman"/>
          <w:lang w:val="en-US"/>
        </w:rPr>
        <w:t>Appendix 12.1</w:t>
      </w:r>
    </w:p>
    <w:p>
      <w:pPr>
        <w:pStyle w:val="Heading2"/>
        <w:spacing w:lineRule="auto" w:line="360"/>
        <w:rPr/>
      </w:pPr>
      <w:r>
        <w:rPr>
          <w:rFonts w:ascii="Times New Roman" w:hAnsi="Times New Roman"/>
          <w:lang w:val="en-US"/>
        </w:rPr>
        <w:t>Character Description</w:t>
      </w:r>
    </w:p>
    <w:p>
      <w:pPr>
        <w:pStyle w:val="Heading3"/>
        <w:spacing w:lineRule="auto" w:line="360"/>
        <w:rPr/>
      </w:pPr>
      <w:r>
        <w:rPr>
          <w:rFonts w:ascii="Times New Roman" w:hAnsi="Times New Roman"/>
          <w:lang w:val="en-US"/>
        </w:rPr>
        <w:t>Prosauropoda</w:t>
      </w:r>
    </w:p>
    <w:p>
      <w:pPr>
        <w:pStyle w:val="Normal"/>
        <w:spacing w:lineRule="auto" w:line="360" w:after="80"/>
        <w:rPr/>
        <w:keepLines w:val="0"/>
        <w:numPr>
          <w:ilvl w:val="0"/>
          <w:numId w:val="1"/>
        </w:numPr>
      </w:pPr>
      <w:r>
        <w:rPr>
          <w:rFonts w:ascii="Times New Roman" w:hAnsi="Times New Roman"/>
          <w:lang w:val="en-US"/>
        </w:rPr>
        <w:t>Skull length: more than 50% of the femur length (0), less than 50% of the femur length (1) (Benton and Storrs in Benton et al. 2000b).</w:t>
      </w:r>
    </w:p>
    <w:p>
      <w:pPr>
        <w:pStyle w:val="Normal"/>
        <w:spacing w:lineRule="auto" w:line="360" w:after="80"/>
        <w:rPr/>
        <w:keepLines w:val="0"/>
        <w:numPr>
          <w:ilvl w:val="0"/>
          <w:numId w:val="1"/>
        </w:numPr>
      </w:pPr>
      <w:r>
        <w:rPr>
          <w:rFonts w:ascii="Times New Roman" w:hAnsi="Times New Roman"/>
          <w:lang w:val="en-US"/>
        </w:rPr>
        <w:t>Caudal rim of the external naris: lies rostral to the rostral margin of the antorbital fenestra (0), lies caudal to the rostral margin of the antorbital fenestra (1).</w:t>
      </w:r>
    </w:p>
    <w:p>
      <w:pPr>
        <w:pStyle w:val="Normal"/>
        <w:spacing w:lineRule="auto" w:line="360" w:after="80"/>
        <w:rPr/>
        <w:keepLines w:val="0"/>
        <w:numPr>
          <w:ilvl w:val="0"/>
          <w:numId w:val="1"/>
        </w:numPr>
      </w:pPr>
      <w:r>
        <w:rPr>
          <w:rFonts w:ascii="Times New Roman" w:hAnsi="Times New Roman"/>
          <w:lang w:val="en-US"/>
        </w:rPr>
        <w:t>External naris less than 50% of the maximum diameter of the orbit (0), at least 60% of the maximum orbit diameter (1) (Wilson and Sereno 1998).</w:t>
      </w:r>
    </w:p>
    <w:p>
      <w:pPr>
        <w:pStyle w:val="Normal"/>
        <w:spacing w:lineRule="auto" w:line="360" w:after="80"/>
        <w:rPr/>
        <w:keepLines w:val="0"/>
        <w:numPr>
          <w:ilvl w:val="0"/>
          <w:numId w:val="1"/>
        </w:numPr>
      </w:pPr>
      <w:r>
        <w:rPr>
          <w:rFonts w:ascii="Times New Roman" w:hAnsi="Times New Roman"/>
          <w:lang w:val="en-US"/>
        </w:rPr>
        <w:t xml:space="preserve">External narial shape: oval/elliptical (0), subtriangular with a right angle at the caudoventral corner (1). Juvenile </w:t>
      </w:r>
      <w:r>
        <w:rPr>
          <w:rFonts w:ascii="Times New Roman" w:hAnsi="Times New Roman"/>
          <w:i/>
          <w:lang w:val="en-US"/>
        </w:rPr>
        <w:t>Massospondylus</w:t>
      </w:r>
      <w:r>
        <w:rPr>
          <w:rFonts w:ascii="Times New Roman" w:hAnsi="Times New Roman"/>
          <w:lang w:val="en-US"/>
        </w:rPr>
        <w:t xml:space="preserve"> has (0), and adult (1) (figs. 12.3L, M, 12.4E, G). This is a modified version of the fully individualized ascending process of the maxilla </w:t>
      </w:r>
      <w:r>
        <w:rPr>
          <w:rFonts w:ascii="Times New Roman" w:hAnsi="Times New Roman"/>
          <w:i/>
          <w:lang w:val="en-US"/>
        </w:rPr>
        <w:t>sensu</w:t>
      </w:r>
      <w:r>
        <w:rPr>
          <w:rFonts w:ascii="Times New Roman" w:hAnsi="Times New Roman"/>
          <w:lang w:val="en-US"/>
        </w:rPr>
        <w:t xml:space="preserve"> Gauffre (1993b). This character is too vague, and the new character retains some of its basis in that the narial shape is affected by the more erect nature of the maxillary ascending process.</w:t>
      </w:r>
    </w:p>
    <w:p>
      <w:pPr>
        <w:pStyle w:val="Normal"/>
        <w:spacing w:lineRule="auto" w:line="360" w:after="80"/>
        <w:rPr/>
        <w:keepLines w:val="0"/>
        <w:numPr>
          <w:ilvl w:val="0"/>
          <w:numId w:val="1"/>
        </w:numPr>
      </w:pPr>
      <w:r>
        <w:rPr>
          <w:rFonts w:ascii="Times New Roman" w:hAnsi="Times New Roman"/>
          <w:lang w:val="en-US"/>
        </w:rPr>
        <w:t xml:space="preserve">External narial margin: formed from the premaxilla and the nasal alone (0), includes a contribution from the maxilla (1) (Gauthier 1986). Both </w:t>
      </w:r>
      <w:r>
        <w:rPr>
          <w:rFonts w:ascii="Times New Roman" w:hAnsi="Times New Roman"/>
          <w:i/>
          <w:lang w:val="en-US"/>
        </w:rPr>
        <w:t>Plateosaurus</w:t>
      </w:r>
      <w:r>
        <w:rPr>
          <w:rFonts w:ascii="Times New Roman" w:hAnsi="Times New Roman"/>
          <w:lang w:val="en-US"/>
        </w:rPr>
        <w:t xml:space="preserve"> and </w:t>
      </w:r>
      <w:r>
        <w:rPr>
          <w:rFonts w:ascii="Times New Roman" w:hAnsi="Times New Roman"/>
          <w:i/>
          <w:lang w:val="en-US"/>
        </w:rPr>
        <w:t>Sellosaurus</w:t>
      </w:r>
      <w:r>
        <w:rPr>
          <w:rFonts w:ascii="Times New Roman" w:hAnsi="Times New Roman"/>
          <w:lang w:val="en-US"/>
        </w:rPr>
        <w:t xml:space="preserve"> show some variation in this character due to preservation (Galton 1985a, 1985b).</w:t>
      </w:r>
    </w:p>
    <w:p>
      <w:pPr>
        <w:pStyle w:val="Normal"/>
        <w:spacing w:lineRule="auto" w:line="360" w:after="80"/>
        <w:rPr/>
        <w:keepLines w:val="0"/>
        <w:numPr>
          <w:ilvl w:val="0"/>
          <w:numId w:val="1"/>
        </w:numPr>
      </w:pPr>
      <w:r>
        <w:rPr>
          <w:rFonts w:ascii="Times New Roman" w:hAnsi="Times New Roman"/>
          <w:lang w:val="en-US"/>
        </w:rPr>
        <w:t>Internarial bar: wide (transverse width equals or exceeds the rostrocaudal width) (0), laterally compressed (transverse width is less than the rostrocaudal width) (1) (Gauthier 1986).</w:t>
      </w:r>
    </w:p>
    <w:p>
      <w:pPr>
        <w:pStyle w:val="Normal"/>
        <w:spacing w:lineRule="auto" w:line="360" w:after="80"/>
        <w:rPr/>
        <w:keepLines w:val="0"/>
        <w:numPr>
          <w:ilvl w:val="0"/>
          <w:numId w:val="1"/>
        </w:numPr>
      </w:pPr>
      <w:r>
        <w:rPr>
          <w:rFonts w:ascii="Times New Roman" w:hAnsi="Times New Roman"/>
          <w:lang w:val="en-US"/>
        </w:rPr>
        <w:t>Dorsal (ascending) process of the premaxilla: curves caudodorsally throughout its length (0), approaches the horizontal in its caudal half (1) (Sereno 1989).</w:t>
      </w:r>
    </w:p>
    <w:p>
      <w:pPr>
        <w:pStyle w:val="Normal"/>
        <w:spacing w:lineRule="auto" w:line="360" w:after="80"/>
        <w:rPr/>
        <w:keepLines w:val="0"/>
        <w:numPr>
          <w:ilvl w:val="0"/>
          <w:numId w:val="1"/>
        </w:numPr>
      </w:pPr>
      <w:r>
        <w:rPr>
          <w:rFonts w:ascii="Times New Roman" w:hAnsi="Times New Roman"/>
          <w:lang w:val="en-US"/>
        </w:rPr>
        <w:t>Distal end of the premaxillary dorsal (ascending) process: tapers to a slender point (0), maintains or even increases its transverse width (1) (Sereno 1999a).</w:t>
      </w:r>
    </w:p>
    <w:p>
      <w:pPr>
        <w:pStyle w:val="Normal"/>
        <w:spacing w:lineRule="auto" w:line="360" w:after="80"/>
        <w:rPr/>
        <w:keepLines w:val="0"/>
        <w:numPr>
          <w:ilvl w:val="0"/>
          <w:numId w:val="1"/>
        </w:numPr>
      </w:pPr>
      <w:r>
        <w:rPr>
          <w:rFonts w:ascii="Times New Roman" w:hAnsi="Times New Roman"/>
          <w:lang w:val="en-US"/>
        </w:rPr>
        <w:t>Form of the maxillary vascular foramina: irregular (0), one directed caudally and 5–6 directed rostrally (1) (Sereno 1999a).</w:t>
      </w:r>
    </w:p>
    <w:p>
      <w:pPr>
        <w:pStyle w:val="Normal"/>
        <w:spacing w:lineRule="auto" w:line="360" w:after="80"/>
        <w:rPr/>
        <w:keepLines w:val="0"/>
        <w:numPr>
          <w:ilvl w:val="0"/>
          <w:numId w:val="1"/>
        </w:numPr>
      </w:pPr>
      <w:r>
        <w:rPr>
          <w:rFonts w:ascii="Times New Roman" w:hAnsi="Times New Roman"/>
          <w:lang w:val="en-US"/>
        </w:rPr>
        <w:t xml:space="preserve">Maxilla-lacrimal contact above the antorbital fenestra: visible in lateral view (0), obscured in lateral view by an overhanging portion of the nasal (1). Sereno (1999a) attributes the derived state to only </w:t>
      </w:r>
      <w:r>
        <w:rPr>
          <w:rFonts w:ascii="Times New Roman" w:hAnsi="Times New Roman"/>
          <w:i/>
          <w:lang w:val="en-US"/>
        </w:rPr>
        <w:t>Plateosaurus</w:t>
      </w:r>
      <w:r>
        <w:rPr>
          <w:rFonts w:ascii="Times New Roman" w:hAnsi="Times New Roman"/>
          <w:lang w:val="en-US"/>
        </w:rPr>
        <w:t xml:space="preserve"> and </w:t>
      </w:r>
      <w:r>
        <w:rPr>
          <w:rFonts w:ascii="Times New Roman" w:hAnsi="Times New Roman"/>
          <w:i/>
          <w:lang w:val="en-US"/>
        </w:rPr>
        <w:t>Sellosaurus.</w:t>
      </w:r>
      <w:r>
        <w:rPr>
          <w:rFonts w:ascii="Times New Roman" w:hAnsi="Times New Roman"/>
          <w:lang w:val="en-US"/>
        </w:rPr>
        <w:t xml:space="preserve"> Benton and Storrs (in Benton et al. 2000b) have a different distribution for the character states among prosauropods: </w:t>
      </w:r>
      <w:r>
        <w:rPr>
          <w:rFonts w:ascii="Times New Roman" w:hAnsi="Times New Roman"/>
          <w:i/>
          <w:lang w:val="en-US"/>
        </w:rPr>
        <w:t>Thecodontosaurus</w:t>
      </w:r>
      <w:r>
        <w:rPr>
          <w:rFonts w:ascii="Times New Roman" w:hAnsi="Times New Roman"/>
          <w:lang w:val="en-US"/>
        </w:rPr>
        <w:t xml:space="preserve"> and </w:t>
      </w:r>
      <w:r>
        <w:rPr>
          <w:rFonts w:ascii="Times New Roman" w:hAnsi="Times New Roman"/>
          <w:i/>
          <w:lang w:val="en-US"/>
        </w:rPr>
        <w:t>Anchisaurus</w:t>
      </w:r>
      <w:r>
        <w:rPr>
          <w:rFonts w:ascii="Times New Roman" w:hAnsi="Times New Roman"/>
          <w:lang w:val="en-US"/>
        </w:rPr>
        <w:t xml:space="preserve"> are given state 1, while </w:t>
      </w:r>
      <w:r>
        <w:rPr>
          <w:rFonts w:ascii="Times New Roman" w:hAnsi="Times New Roman"/>
          <w:i/>
          <w:lang w:val="en-US"/>
        </w:rPr>
        <w:t>Massospondylus</w:t>
      </w:r>
      <w:r>
        <w:rPr>
          <w:rFonts w:ascii="Times New Roman" w:hAnsi="Times New Roman"/>
          <w:lang w:val="en-US"/>
        </w:rPr>
        <w:t xml:space="preserve"> is given state 0. In the case of </w:t>
      </w:r>
      <w:r>
        <w:rPr>
          <w:rFonts w:ascii="Times New Roman" w:hAnsi="Times New Roman"/>
          <w:i/>
          <w:lang w:val="en-US"/>
        </w:rPr>
        <w:t>Anchisaurus</w:t>
      </w:r>
      <w:r>
        <w:rPr>
          <w:rFonts w:ascii="Times New Roman" w:hAnsi="Times New Roman"/>
          <w:lang w:val="en-US"/>
        </w:rPr>
        <w:t xml:space="preserve"> the correct state is clearly ‘?’ because of damage to the relevant area of the skull (Galton 1976b). The Arizona </w:t>
      </w:r>
      <w:r>
        <w:rPr>
          <w:rFonts w:ascii="Times New Roman" w:hAnsi="Times New Roman"/>
          <w:i/>
          <w:lang w:val="en-US"/>
        </w:rPr>
        <w:t>“Massospondylus”</w:t>
      </w:r>
      <w:r>
        <w:rPr>
          <w:rFonts w:ascii="Times New Roman" w:hAnsi="Times New Roman"/>
          <w:lang w:val="en-US"/>
        </w:rPr>
        <w:t xml:space="preserve"> described by Attridge et al. (1985) does have state 0, but our doubts surrounding its congeneric status with the South African </w:t>
      </w:r>
      <w:r>
        <w:rPr>
          <w:rFonts w:ascii="Times New Roman" w:hAnsi="Times New Roman"/>
          <w:i/>
          <w:lang w:val="en-US"/>
        </w:rPr>
        <w:t>Massospondylus</w:t>
      </w:r>
      <w:r>
        <w:rPr>
          <w:rFonts w:ascii="Times New Roman" w:hAnsi="Times New Roman"/>
          <w:lang w:val="en-US"/>
        </w:rPr>
        <w:t xml:space="preserve"> material mean that the North American specimen has not been used to determine the character state for </w:t>
      </w:r>
      <w:r>
        <w:rPr>
          <w:rFonts w:ascii="Times New Roman" w:hAnsi="Times New Roman"/>
          <w:i/>
          <w:lang w:val="en-US"/>
        </w:rPr>
        <w:t>Massospondylus.</w:t>
      </w:r>
      <w:r>
        <w:rPr>
          <w:rFonts w:ascii="Times New Roman" w:hAnsi="Times New Roman"/>
          <w:lang w:val="en-US"/>
        </w:rPr>
        <w:t xml:space="preserve"> Furthermore, dorsoventral crushing of the Arizona specimen may have artificially produced the plesiomorphic state. The South African </w:t>
      </w:r>
      <w:r>
        <w:rPr>
          <w:rFonts w:ascii="Times New Roman" w:hAnsi="Times New Roman"/>
          <w:i/>
          <w:lang w:val="en-US"/>
        </w:rPr>
        <w:t>Massospondylus</w:t>
      </w:r>
      <w:r>
        <w:rPr>
          <w:rFonts w:ascii="Times New Roman" w:hAnsi="Times New Roman"/>
          <w:lang w:val="en-US"/>
        </w:rPr>
        <w:t xml:space="preserve"> skulls clearly possess the derived state (Gow et al. 1990). This character is polymorphic in </w:t>
      </w:r>
      <w:r>
        <w:rPr>
          <w:rFonts w:ascii="Times New Roman" w:hAnsi="Times New Roman"/>
          <w:i/>
          <w:lang w:val="en-US"/>
        </w:rPr>
        <w:t>Plateosaurus</w:t>
      </w:r>
      <w:r>
        <w:rPr>
          <w:rFonts w:ascii="Times New Roman" w:hAnsi="Times New Roman"/>
          <w:lang w:val="en-US"/>
        </w:rPr>
        <w:t xml:space="preserve"> (Galton 1985b).</w:t>
      </w:r>
    </w:p>
    <w:p>
      <w:pPr>
        <w:pStyle w:val="Normal"/>
        <w:spacing w:lineRule="auto" w:line="360" w:after="80"/>
        <w:rPr/>
        <w:keepLines w:val="0"/>
        <w:numPr>
          <w:ilvl w:val="0"/>
          <w:numId w:val="1"/>
        </w:numPr>
      </w:pPr>
      <w:r>
        <w:rPr>
          <w:rFonts w:ascii="Times New Roman" w:hAnsi="Times New Roman"/>
          <w:lang w:val="en-US"/>
        </w:rPr>
        <w:t>Shelflike area lateral to the external naris, extending onto the rostral end of the maxilla: absent (0), present (1) (McIntosh 1990a).</w:t>
      </w:r>
    </w:p>
    <w:p>
      <w:pPr>
        <w:pStyle w:val="Normal"/>
        <w:spacing w:lineRule="auto" w:line="360" w:after="80"/>
        <w:rPr/>
        <w:keepLines w:val="0"/>
        <w:numPr>
          <w:ilvl w:val="0"/>
          <w:numId w:val="1"/>
        </w:numPr>
      </w:pPr>
      <w:r>
        <w:rPr>
          <w:rFonts w:ascii="Times New Roman" w:hAnsi="Times New Roman"/>
          <w:lang w:val="en-US"/>
        </w:rPr>
        <w:t>Lateral lamina extending caudally from the ascending process of the maxilla, along the ventral rim of the antorbital fenestra: absent (0), present (1) (Galton 1990a; Witmer 1997a).</w:t>
      </w:r>
    </w:p>
    <w:p>
      <w:pPr>
        <w:pStyle w:val="Normal"/>
        <w:spacing w:lineRule="auto" w:line="360" w:after="80"/>
        <w:rPr/>
        <w:keepLines w:val="0"/>
        <w:numPr>
          <w:ilvl w:val="0"/>
          <w:numId w:val="1"/>
        </w:numPr>
      </w:pPr>
      <w:r>
        <w:rPr>
          <w:rFonts w:ascii="Times New Roman" w:hAnsi="Times New Roman"/>
          <w:lang w:val="en-US"/>
        </w:rPr>
        <w:t>Maxillary lateral lamina: short (0), long (1) (Galton 1985b). The difference between a short and a long lateral lamina needs to be more precisely delimited, preferably by reference to some ratio or landmark.</w:t>
      </w:r>
    </w:p>
    <w:p>
      <w:pPr>
        <w:pStyle w:val="Normal"/>
        <w:spacing w:lineRule="auto" w:line="360" w:after="80"/>
        <w:rPr/>
        <w:keepLines w:val="0"/>
        <w:numPr>
          <w:ilvl w:val="0"/>
          <w:numId w:val="1"/>
        </w:numPr>
      </w:pPr>
      <w:r>
        <w:rPr>
          <w:rFonts w:ascii="Times New Roman" w:hAnsi="Times New Roman"/>
          <w:lang w:val="en-US"/>
        </w:rPr>
        <w:t>Basal width of the rostroventral process of the nasal: equal to that of the rostral nasal process (0), 50% more than the width of rostral nasal process (1) (Sereno 1999a).</w:t>
      </w:r>
    </w:p>
    <w:p>
      <w:pPr>
        <w:pStyle w:val="Normal"/>
        <w:spacing w:lineRule="auto" w:line="360" w:after="80"/>
        <w:rPr/>
        <w:keepLines w:val="0"/>
        <w:numPr>
          <w:ilvl w:val="0"/>
          <w:numId w:val="1"/>
        </w:numPr>
      </w:pPr>
      <w:r>
        <w:rPr>
          <w:rFonts w:ascii="Times New Roman" w:hAnsi="Times New Roman"/>
          <w:lang w:val="en-US"/>
        </w:rPr>
        <w:t>Median nasal depression: absent (0), present (1) (Sereno 1999a). The derived state is assumed to be the concave area observed just behind the nasal-premaxilla contact above the external naris.</w:t>
      </w:r>
    </w:p>
    <w:p>
      <w:pPr>
        <w:pStyle w:val="Normal"/>
        <w:spacing w:lineRule="auto" w:line="360" w:after="80"/>
        <w:rPr/>
        <w:keepLines w:val="0"/>
        <w:numPr>
          <w:ilvl w:val="0"/>
          <w:numId w:val="1"/>
        </w:numPr>
      </w:pPr>
      <w:r>
        <w:rPr>
          <w:rFonts w:ascii="Times New Roman" w:hAnsi="Times New Roman"/>
          <w:lang w:val="en-US"/>
        </w:rPr>
        <w:t>Angle between the rostral and dorsal rami of the quadratojugal: 90° or more (0), ca. 60° or less (1) (Galton 1990a).</w:t>
      </w:r>
    </w:p>
    <w:p>
      <w:pPr>
        <w:pStyle w:val="Normal"/>
        <w:spacing w:lineRule="auto" w:line="360" w:after="80"/>
        <w:rPr/>
        <w:keepLines w:val="0"/>
        <w:numPr>
          <w:ilvl w:val="0"/>
          <w:numId w:val="1"/>
        </w:numPr>
      </w:pPr>
      <w:r>
        <w:rPr>
          <w:rFonts w:ascii="Times New Roman" w:hAnsi="Times New Roman"/>
          <w:lang w:val="en-US"/>
        </w:rPr>
        <w:t xml:space="preserve">Rostral margin of the infratemporal fenestra: lies caudal to the orbit (0), lies below the orbit (1) (Gauthier 1986; Upchurch 1995). Benton and Storrs (in Benton et al. 2000b) give </w:t>
      </w:r>
      <w:r>
        <w:rPr>
          <w:rFonts w:ascii="Times New Roman" w:hAnsi="Times New Roman"/>
          <w:i/>
          <w:lang w:val="en-US"/>
        </w:rPr>
        <w:t>Thecodontosaurus</w:t>
      </w:r>
      <w:r>
        <w:rPr>
          <w:rFonts w:ascii="Times New Roman" w:hAnsi="Times New Roman"/>
          <w:lang w:val="en-US"/>
        </w:rPr>
        <w:t xml:space="preserve"> and </w:t>
      </w:r>
      <w:r>
        <w:rPr>
          <w:rFonts w:ascii="Times New Roman" w:hAnsi="Times New Roman"/>
          <w:i/>
          <w:lang w:val="en-US"/>
        </w:rPr>
        <w:t>Anchisaurus</w:t>
      </w:r>
      <w:r>
        <w:rPr>
          <w:rFonts w:ascii="Times New Roman" w:hAnsi="Times New Roman"/>
          <w:lang w:val="en-US"/>
        </w:rPr>
        <w:t xml:space="preserve"> state 0 and </w:t>
      </w:r>
      <w:r>
        <w:rPr>
          <w:rFonts w:ascii="Times New Roman" w:hAnsi="Times New Roman"/>
          <w:i/>
          <w:lang w:val="en-US"/>
        </w:rPr>
        <w:t>Sellosaurus</w:t>
      </w:r>
      <w:r>
        <w:rPr>
          <w:rFonts w:ascii="Times New Roman" w:hAnsi="Times New Roman"/>
          <w:lang w:val="en-US"/>
        </w:rPr>
        <w:t xml:space="preserve"> state 1.</w:t>
      </w:r>
    </w:p>
    <w:p>
      <w:pPr>
        <w:pStyle w:val="Normal"/>
        <w:spacing w:lineRule="auto" w:line="360" w:after="80"/>
        <w:rPr/>
        <w:keepLines w:val="0"/>
        <w:numPr>
          <w:ilvl w:val="0"/>
          <w:numId w:val="1"/>
        </w:numPr>
      </w:pPr>
      <w:r>
        <w:rPr>
          <w:rFonts w:ascii="Times New Roman" w:hAnsi="Times New Roman"/>
          <w:lang w:val="en-US"/>
        </w:rPr>
        <w:t>Prefrontal ventral process: short, lies on caudal surface of the lacrimal (0), long and extends down the medial side of the lacrimal (1).</w:t>
      </w:r>
    </w:p>
    <w:p>
      <w:pPr>
        <w:pStyle w:val="Normal"/>
        <w:spacing w:lineRule="auto" w:line="360" w:after="80"/>
        <w:rPr/>
        <w:keepLines w:val="0"/>
        <w:numPr>
          <w:ilvl w:val="0"/>
          <w:numId w:val="1"/>
        </w:numPr>
      </w:pPr>
      <w:r>
        <w:rPr>
          <w:rFonts w:ascii="Times New Roman" w:hAnsi="Times New Roman"/>
          <w:lang w:val="en-US"/>
        </w:rPr>
        <w:t xml:space="preserve">Ratio of prefrontal length to frontal length: 0.70 (0), 0.95 or higher (1) (Galton 1990a). Benton and Storrs (in Benton et al. 2000b) give </w:t>
      </w:r>
      <w:r>
        <w:rPr>
          <w:rFonts w:ascii="Times New Roman" w:hAnsi="Times New Roman"/>
          <w:i/>
          <w:lang w:val="en-US"/>
        </w:rPr>
        <w:t xml:space="preserve">Anchisaurus, Sellosaurus, </w:t>
      </w:r>
      <w:r>
        <w:rPr>
          <w:rFonts w:ascii="Times New Roman" w:hAnsi="Times New Roman"/>
          <w:lang w:val="en-US"/>
        </w:rPr>
        <w:t xml:space="preserve">and </w:t>
      </w:r>
      <w:r>
        <w:rPr>
          <w:rFonts w:ascii="Times New Roman" w:hAnsi="Times New Roman"/>
          <w:i/>
          <w:lang w:val="en-US"/>
        </w:rPr>
        <w:t>Thecodontosaurus</w:t>
      </w:r>
      <w:r>
        <w:rPr>
          <w:rFonts w:ascii="Times New Roman" w:hAnsi="Times New Roman"/>
          <w:lang w:val="en-US"/>
        </w:rPr>
        <w:t xml:space="preserve"> state 0, perhaps reflecting their combined character states relating to prefrontal length and width.</w:t>
      </w:r>
    </w:p>
    <w:p>
      <w:pPr>
        <w:pStyle w:val="Normal"/>
        <w:spacing w:lineRule="auto" w:line="360" w:after="80"/>
        <w:rPr/>
        <w:keepLines w:val="0"/>
        <w:numPr>
          <w:ilvl w:val="0"/>
          <w:numId w:val="1"/>
        </w:numPr>
      </w:pPr>
      <w:r>
        <w:rPr>
          <w:rFonts w:ascii="Times New Roman" w:hAnsi="Times New Roman"/>
          <w:lang w:val="en-US"/>
        </w:rPr>
        <w:t>Frontal contribution to the dorsal margin of the orbit: substantial (0), small or absent as a result of the prefrontal and postfrontal approaching close to each other (1) (Galton 1985b, 1990a).</w:t>
      </w:r>
    </w:p>
    <w:p>
      <w:pPr>
        <w:pStyle w:val="Normal"/>
        <w:spacing w:lineRule="auto" w:line="360" w:after="80"/>
        <w:rPr/>
        <w:keepLines w:val="0"/>
        <w:numPr>
          <w:ilvl w:val="0"/>
          <w:numId w:val="1"/>
        </w:numPr>
      </w:pPr>
      <w:r>
        <w:rPr>
          <w:rFonts w:ascii="Times New Roman" w:hAnsi="Times New Roman"/>
          <w:lang w:val="en-US"/>
        </w:rPr>
        <w:t xml:space="preserve">Frontal exposure between the prefrontal and nasal: absent (0), present (1). Sereno 1999a gives </w:t>
      </w:r>
      <w:r>
        <w:rPr>
          <w:rFonts w:ascii="Times New Roman" w:hAnsi="Times New Roman"/>
          <w:i/>
          <w:lang w:val="en-US"/>
        </w:rPr>
        <w:t>Coloradisaurus</w:t>
      </w:r>
      <w:r>
        <w:rPr>
          <w:rFonts w:ascii="Times New Roman" w:hAnsi="Times New Roman"/>
          <w:lang w:val="en-US"/>
        </w:rPr>
        <w:t xml:space="preserve"> state ?</w:t>
      </w:r>
    </w:p>
    <w:p>
      <w:pPr>
        <w:pStyle w:val="Normal"/>
        <w:spacing w:lineRule="auto" w:line="360" w:after="80"/>
        <w:rPr/>
        <w:keepLines w:val="0"/>
        <w:numPr>
          <w:ilvl w:val="0"/>
          <w:numId w:val="1"/>
        </w:numPr>
      </w:pPr>
      <w:r>
        <w:rPr>
          <w:rFonts w:ascii="Times New Roman" w:hAnsi="Times New Roman"/>
          <w:lang w:val="en-US"/>
        </w:rPr>
        <w:t>Frontal contribution to the supratemporal fossa: present (0), absent, excluded by a parietal-postorbital contact (1). Wilson and Sereno (1998) state that prosauropods have the plesiomorphic state.</w:t>
      </w:r>
    </w:p>
    <w:p>
      <w:pPr>
        <w:pStyle w:val="Normal"/>
        <w:spacing w:lineRule="auto" w:line="360" w:after="80"/>
        <w:rPr/>
        <w:keepLines w:val="0"/>
        <w:numPr>
          <w:ilvl w:val="0"/>
          <w:numId w:val="1"/>
        </w:numPr>
      </w:pPr>
      <w:r>
        <w:rPr>
          <w:rFonts w:ascii="Times New Roman" w:hAnsi="Times New Roman"/>
          <w:lang w:val="en-US"/>
        </w:rPr>
        <w:t xml:space="preserve">Supratemporal fenestra: obscured laterally by the postorbital bar (0), visible in lateral view because the postorbital bar lies substantially below the dorsal rim of the orbit (1) (Wilson and Sereno 1998, modified). The derived state may occur in juvenile prosauropods, e.g., </w:t>
      </w:r>
      <w:r>
        <w:rPr>
          <w:rFonts w:ascii="Times New Roman" w:hAnsi="Times New Roman"/>
          <w:i/>
          <w:lang w:val="en-US"/>
        </w:rPr>
        <w:t>Massospondylus,</w:t>
      </w:r>
      <w:r>
        <w:rPr>
          <w:rFonts w:ascii="Times New Roman" w:hAnsi="Times New Roman"/>
          <w:lang w:val="en-US"/>
        </w:rPr>
        <w:t xml:space="preserve"> and is replaced by the plesiomorphic state in adults (Gow et al. 1990).</w:t>
      </w:r>
    </w:p>
    <w:p>
      <w:pPr>
        <w:pStyle w:val="Normal"/>
        <w:spacing w:lineRule="auto" w:line="360" w:after="80"/>
        <w:rPr/>
        <w:keepLines w:val="0"/>
        <w:numPr>
          <w:ilvl w:val="0"/>
          <w:numId w:val="1"/>
        </w:numPr>
      </w:pPr>
      <w:r>
        <w:rPr>
          <w:rFonts w:ascii="Times New Roman" w:hAnsi="Times New Roman"/>
          <w:lang w:val="en-US"/>
        </w:rPr>
        <w:t xml:space="preserve">Parietals: paired, sutured on the midline (0), fused on the midline (1). </w:t>
      </w:r>
      <w:r>
        <w:rPr>
          <w:rFonts w:ascii="Times New Roman" w:hAnsi="Times New Roman"/>
          <w:i/>
          <w:lang w:val="en-US"/>
        </w:rPr>
        <w:t>Massospondylus</w:t>
      </w:r>
      <w:r>
        <w:rPr>
          <w:rFonts w:ascii="Times New Roman" w:hAnsi="Times New Roman"/>
          <w:lang w:val="en-US"/>
        </w:rPr>
        <w:t xml:space="preserve"> (Gow et al. 1990) and </w:t>
      </w:r>
      <w:r>
        <w:rPr>
          <w:rFonts w:ascii="Times New Roman" w:hAnsi="Times New Roman"/>
          <w:i/>
          <w:lang w:val="en-US"/>
        </w:rPr>
        <w:t>Plateosaurus</w:t>
      </w:r>
      <w:r>
        <w:rPr>
          <w:rFonts w:ascii="Times New Roman" w:hAnsi="Times New Roman"/>
          <w:lang w:val="en-US"/>
        </w:rPr>
        <w:t xml:space="preserve"> (Galton 1984a, 1985a) are polymorphic, and </w:t>
      </w:r>
      <w:r>
        <w:rPr>
          <w:rFonts w:ascii="Times New Roman" w:hAnsi="Times New Roman"/>
          <w:i/>
          <w:lang w:val="en-US"/>
        </w:rPr>
        <w:t>Sellosaurus</w:t>
      </w:r>
      <w:r>
        <w:rPr>
          <w:rFonts w:ascii="Times New Roman" w:hAnsi="Times New Roman"/>
          <w:lang w:val="en-US"/>
        </w:rPr>
        <w:t xml:space="preserve"> and </w:t>
      </w:r>
      <w:r>
        <w:rPr>
          <w:rFonts w:ascii="Times New Roman" w:hAnsi="Times New Roman"/>
          <w:i/>
          <w:lang w:val="en-US"/>
        </w:rPr>
        <w:t>Thecodontosaurus</w:t>
      </w:r>
      <w:r>
        <w:rPr>
          <w:rFonts w:ascii="Times New Roman" w:hAnsi="Times New Roman"/>
          <w:lang w:val="en-US"/>
        </w:rPr>
        <w:t xml:space="preserve"> are only known from juvenile skulls and are provisionally assigned the character state ? because parietals may only fuse in adults.</w:t>
      </w:r>
    </w:p>
    <w:p>
      <w:pPr>
        <w:pStyle w:val="Normal"/>
        <w:spacing w:lineRule="auto" w:line="360" w:after="80"/>
        <w:rPr/>
        <w:keepLines w:val="0"/>
        <w:numPr>
          <w:ilvl w:val="0"/>
          <w:numId w:val="1"/>
        </w:numPr>
      </w:pPr>
      <w:r>
        <w:rPr>
          <w:rFonts w:ascii="Times New Roman" w:hAnsi="Times New Roman"/>
          <w:lang w:val="en-US"/>
        </w:rPr>
        <w:t>Ventral process of the squamosal: tablike (0), straplike (1) (Sereno 1999a). The delimitation of the two states needs clarification. In sauropods and theropods the ventral process is formed by an extension and gradually narrowing of the main body of the squamosal, whereas in prosauropods the area caudal to the ventral process is more sharply distinguished from the main body, giving the bone a distorted T shape in lateral view.</w:t>
      </w:r>
    </w:p>
    <w:p>
      <w:pPr>
        <w:pStyle w:val="Normal"/>
        <w:tabs>
          <w:tab w:val="clear" w:pos="720"/>
          <w:tab w:val="left" w:pos="2880" w:leader="none"/>
        </w:tabs>
        <w:spacing w:lineRule="auto" w:line="360" w:after="80"/>
        <w:rPr/>
        <w:keepLines w:val="0"/>
        <w:numPr>
          <w:ilvl w:val="0"/>
          <w:numId w:val="1"/>
        </w:numPr>
      </w:pPr>
      <w:r>
        <w:rPr>
          <w:rFonts w:ascii="Times New Roman" w:hAnsi="Times New Roman"/>
          <w:lang w:val="en-US"/>
        </w:rPr>
        <w:t>Supraoccipital: inclined at 75° to the vertical, so that its rostral tip lies caudal to the basipterygoid processes (0), inclined at 45°, so that its rostral tip lies above the basipterygoid processes (1) (Galton 1990a).</w:t>
      </w:r>
    </w:p>
    <w:p>
      <w:pPr>
        <w:pStyle w:val="Normal"/>
        <w:spacing w:lineRule="auto" w:line="360" w:after="80"/>
        <w:rPr/>
        <w:keepLines w:val="0"/>
        <w:numPr>
          <w:ilvl w:val="0"/>
          <w:numId w:val="1"/>
        </w:numPr>
      </w:pPr>
      <w:r>
        <w:rPr>
          <w:rFonts w:ascii="Times New Roman" w:hAnsi="Times New Roman"/>
          <w:lang w:val="en-US"/>
        </w:rPr>
        <w:t xml:space="preserve">Notch in portico, above the opening for c.n. V, for a separate exit of vena cerebralis media: absent (0), present (1) (Galton 1976b). The derived state is present in adult </w:t>
      </w:r>
      <w:r>
        <w:rPr>
          <w:rFonts w:ascii="Times New Roman" w:hAnsi="Times New Roman"/>
          <w:i/>
          <w:lang w:val="en-US"/>
        </w:rPr>
        <w:t>Massospondylus</w:t>
      </w:r>
      <w:r>
        <w:rPr>
          <w:rFonts w:ascii="Times New Roman" w:hAnsi="Times New Roman"/>
          <w:lang w:val="en-US"/>
        </w:rPr>
        <w:t xml:space="preserve"> but absent in juveniles (Gow 1990a).</w:t>
      </w:r>
    </w:p>
    <w:p>
      <w:pPr>
        <w:pStyle w:val="Normal"/>
        <w:spacing w:lineRule="auto" w:line="360" w:after="80"/>
        <w:rPr/>
        <w:keepLines w:val="0"/>
        <w:numPr>
          <w:ilvl w:val="0"/>
          <w:numId w:val="1"/>
        </w:numPr>
      </w:pPr>
      <w:r>
        <w:rPr>
          <w:rFonts w:ascii="Times New Roman" w:hAnsi="Times New Roman"/>
          <w:lang w:val="en-US"/>
        </w:rPr>
        <w:t xml:space="preserve">Deep transverse wall of bone between the basipterygoid processes: absent (0), present (1) (Galton 1985b, 1990a; Galton and Bakker 1985). Sereno (1999a) gives </w:t>
      </w:r>
      <w:r>
        <w:rPr>
          <w:rFonts w:ascii="Times New Roman" w:hAnsi="Times New Roman"/>
          <w:i/>
          <w:lang w:val="en-US"/>
        </w:rPr>
        <w:t>Sellosaurus</w:t>
      </w:r>
      <w:r>
        <w:rPr>
          <w:rFonts w:ascii="Times New Roman" w:hAnsi="Times New Roman"/>
          <w:lang w:val="en-US"/>
        </w:rPr>
        <w:t xml:space="preserve"> the derived state.</w:t>
      </w:r>
    </w:p>
    <w:p>
      <w:pPr>
        <w:pStyle w:val="Normal"/>
        <w:spacing w:lineRule="auto" w:line="360" w:after="80"/>
        <w:rPr/>
        <w:keepLines w:val="0"/>
        <w:numPr>
          <w:ilvl w:val="0"/>
          <w:numId w:val="1"/>
        </w:numPr>
      </w:pPr>
      <w:r>
        <w:rPr>
          <w:rFonts w:ascii="Times New Roman" w:hAnsi="Times New Roman"/>
          <w:lang w:val="en-US"/>
        </w:rPr>
        <w:t xml:space="preserve">Parasphenoid rostrum: lies level with the occipital condyle (0), lies below the occipital condyle, so that the long axis of the rostrum, if extrapolated backward, would lie level with or below the ventral tip of the condyle (1) (Galton 1985b, 1990a). Sereno (1999a) gives the derived state to </w:t>
      </w:r>
      <w:r>
        <w:rPr>
          <w:rFonts w:ascii="Times New Roman" w:hAnsi="Times New Roman"/>
          <w:i/>
          <w:lang w:val="en-US"/>
        </w:rPr>
        <w:t>Sellosaurus</w:t>
      </w:r>
      <w:r>
        <w:rPr>
          <w:rFonts w:ascii="Times New Roman" w:hAnsi="Times New Roman"/>
          <w:lang w:val="en-US"/>
        </w:rPr>
        <w:t xml:space="preserve"> and the primitive state to</w:t>
      </w:r>
      <w:r>
        <w:rPr>
          <w:rFonts w:ascii="Times New Roman" w:hAnsi="Times New Roman"/>
          <w:i/>
          <w:lang w:val="en-US"/>
        </w:rPr>
        <w:t xml:space="preserve"> Lufengosaurus.</w:t>
      </w:r>
    </w:p>
    <w:p>
      <w:pPr>
        <w:pStyle w:val="Normal"/>
        <w:spacing w:lineRule="auto" w:line="360" w:after="80"/>
        <w:rPr/>
        <w:keepLines w:val="0"/>
        <w:numPr>
          <w:ilvl w:val="0"/>
          <w:numId w:val="1"/>
        </w:numPr>
      </w:pPr>
      <w:r>
        <w:rPr>
          <w:rFonts w:ascii="Times New Roman" w:hAnsi="Times New Roman"/>
          <w:lang w:val="en-US"/>
        </w:rPr>
        <w:t>Rostral end of the dentary: narrower dorsoventrally than the caudal portion (0), wider dorsoventrally, and more robust, than the caudal portion (1).</w:t>
      </w:r>
    </w:p>
    <w:p>
      <w:pPr>
        <w:pStyle w:val="Normal"/>
        <w:spacing w:lineRule="auto" w:line="360" w:after="80"/>
        <w:rPr/>
        <w:keepLines w:val="0"/>
        <w:numPr>
          <w:ilvl w:val="0"/>
          <w:numId w:val="1"/>
        </w:numPr>
      </w:pPr>
      <w:r>
        <w:rPr>
          <w:rFonts w:ascii="Times New Roman" w:hAnsi="Times New Roman"/>
          <w:lang w:val="en-US"/>
        </w:rPr>
        <w:t xml:space="preserve">Dentary in lateral view: essentially straight or curves slightly upward toward its rostral tip (0), curves ventrally toward its rostral tip (1) (Sereno 1989). Gauffre (1996) uses the opposite polarity to that employed here, and Sereno (1999a) restricts the derived state to </w:t>
      </w:r>
      <w:r>
        <w:rPr>
          <w:rFonts w:ascii="Times New Roman" w:hAnsi="Times New Roman"/>
          <w:i/>
          <w:lang w:val="en-US"/>
        </w:rPr>
        <w:t>Coloradisaurus, Plateosaurus,</w:t>
      </w:r>
      <w:r>
        <w:rPr>
          <w:rFonts w:ascii="Times New Roman" w:hAnsi="Times New Roman"/>
          <w:lang w:val="en-US"/>
        </w:rPr>
        <w:t xml:space="preserve"> and </w:t>
      </w:r>
      <w:r>
        <w:rPr>
          <w:rFonts w:ascii="Times New Roman" w:hAnsi="Times New Roman"/>
          <w:i/>
          <w:lang w:val="en-US"/>
        </w:rPr>
        <w:t>Sellosaurus.</w:t>
      </w:r>
    </w:p>
    <w:p>
      <w:pPr>
        <w:pStyle w:val="Normal"/>
        <w:spacing w:lineRule="auto" w:line="360" w:after="80"/>
        <w:rPr/>
        <w:keepLines w:val="0"/>
        <w:numPr>
          <w:ilvl w:val="0"/>
          <w:numId w:val="1"/>
        </w:numPr>
      </w:pPr>
      <w:r>
        <w:rPr>
          <w:rFonts w:ascii="Times New Roman" w:hAnsi="Times New Roman"/>
          <w:lang w:val="en-US"/>
        </w:rPr>
        <w:t>Ridge on lateral surface of the dentary, possibly associated with a fleshy cheek in life: absent (0), present (1) (Paul 1984b; Galton 1984a, 1985c, 1990a; Sereno 1989).</w:t>
      </w:r>
    </w:p>
    <w:p>
      <w:pPr>
        <w:pStyle w:val="Normal"/>
        <w:spacing w:lineRule="auto" w:line="360" w:after="80"/>
        <w:rPr/>
        <w:keepLines w:val="0"/>
        <w:numPr>
          <w:ilvl w:val="0"/>
          <w:numId w:val="1"/>
        </w:numPr>
      </w:pPr>
      <w:r>
        <w:rPr>
          <w:rFonts w:ascii="Times New Roman" w:hAnsi="Times New Roman"/>
          <w:lang w:val="en-US"/>
        </w:rPr>
        <w:t>Long diameter of the external mandibular fenestra: 10%–15% of mandible length (0), 5% or less of mandible length (1) (Upchurch 1994a, 1995).</w:t>
      </w:r>
    </w:p>
    <w:p>
      <w:pPr>
        <w:pStyle w:val="Normal"/>
        <w:spacing w:lineRule="auto" w:line="360" w:after="80"/>
        <w:rPr/>
        <w:keepLines w:val="0"/>
        <w:numPr>
          <w:ilvl w:val="0"/>
          <w:numId w:val="1"/>
        </w:numPr>
      </w:pPr>
      <w:r>
        <w:rPr>
          <w:rFonts w:ascii="Times New Roman" w:hAnsi="Times New Roman"/>
          <w:lang w:val="en-US"/>
        </w:rPr>
        <w:t>Jaw articulation: lies above the dorsal margin of the dentary (0), lies well below the dorsal margin of the dentary, at or close to the level of the ventral margin of the dentary (1) (Galton 1976b, 1990a; Gauthier 1986). Gauffre (1996, modified) uses the opposite polarity to that employed here.</w:t>
      </w:r>
    </w:p>
    <w:p>
      <w:pPr>
        <w:pStyle w:val="Normal"/>
        <w:spacing w:lineRule="auto" w:line="360" w:after="80"/>
        <w:rPr/>
        <w:keepLines w:val="0"/>
        <w:numPr>
          <w:ilvl w:val="0"/>
          <w:numId w:val="1"/>
        </w:numPr>
      </w:pPr>
      <w:r>
        <w:rPr>
          <w:rFonts w:ascii="Times New Roman" w:hAnsi="Times New Roman"/>
          <w:lang w:val="en-US"/>
        </w:rPr>
        <w:t>Retroarticular process: short (0), long (1) (Gauffre 1996, modified). Future work should the delimit the length of the retroarticular process using measurements taken directly from specimens and without reference to the caudodorsal corner of the skull.</w:t>
      </w:r>
    </w:p>
    <w:p>
      <w:pPr>
        <w:pStyle w:val="Normal"/>
        <w:spacing w:lineRule="auto" w:line="360" w:after="80"/>
        <w:rPr/>
        <w:keepLines w:val="0"/>
        <w:numPr>
          <w:ilvl w:val="0"/>
          <w:numId w:val="1"/>
        </w:numPr>
      </w:pPr>
      <w:r>
        <w:rPr>
          <w:rFonts w:ascii="Times New Roman" w:hAnsi="Times New Roman"/>
          <w:lang w:val="en-US"/>
        </w:rPr>
        <w:t xml:space="preserve">Number of teeth in the premaxilla: 4 (0), 5 or more (1). Sereno (1999a) restricts the derived state to </w:t>
      </w:r>
      <w:r>
        <w:rPr>
          <w:rFonts w:ascii="Times New Roman" w:hAnsi="Times New Roman"/>
          <w:i/>
          <w:lang w:val="en-US"/>
        </w:rPr>
        <w:t>Plateosaurus</w:t>
      </w:r>
      <w:r>
        <w:rPr>
          <w:rFonts w:ascii="Times New Roman" w:hAnsi="Times New Roman"/>
          <w:lang w:val="en-US"/>
        </w:rPr>
        <w:t xml:space="preserve"> and </w:t>
      </w:r>
      <w:r>
        <w:rPr>
          <w:rFonts w:ascii="Times New Roman" w:hAnsi="Times New Roman"/>
          <w:i/>
          <w:lang w:val="en-US"/>
        </w:rPr>
        <w:t>Sellosaurus</w:t>
      </w:r>
      <w:r>
        <w:rPr>
          <w:rFonts w:ascii="Times New Roman" w:hAnsi="Times New Roman"/>
          <w:lang w:val="en-US"/>
        </w:rPr>
        <w:t xml:space="preserve"> and gives </w:t>
      </w:r>
      <w:r>
        <w:rPr>
          <w:rFonts w:ascii="Times New Roman" w:hAnsi="Times New Roman"/>
          <w:i/>
          <w:lang w:val="en-US"/>
        </w:rPr>
        <w:t>“Gyposaurus” sinensis</w:t>
      </w:r>
      <w:r>
        <w:rPr>
          <w:rFonts w:ascii="Times New Roman" w:hAnsi="Times New Roman"/>
          <w:lang w:val="en-US"/>
        </w:rPr>
        <w:t xml:space="preserve"> state 0. </w:t>
      </w:r>
      <w:r>
        <w:rPr>
          <w:rFonts w:ascii="Times New Roman" w:hAnsi="Times New Roman"/>
          <w:i/>
          <w:lang w:val="en-US"/>
        </w:rPr>
        <w:t>Sellosaurus</w:t>
      </w:r>
      <w:r>
        <w:rPr>
          <w:rFonts w:ascii="Times New Roman" w:hAnsi="Times New Roman"/>
          <w:lang w:val="en-US"/>
        </w:rPr>
        <w:t xml:space="preserve"> is polymorphic across states 0 and 1 (Galton 1985b).</w:t>
      </w:r>
    </w:p>
    <w:p>
      <w:pPr>
        <w:pStyle w:val="Normal"/>
        <w:spacing w:lineRule="auto" w:line="360" w:after="80"/>
        <w:rPr/>
        <w:keepLines w:val="0"/>
        <w:numPr>
          <w:ilvl w:val="0"/>
          <w:numId w:val="1"/>
        </w:numPr>
      </w:pPr>
      <w:r>
        <w:rPr>
          <w:rFonts w:ascii="Times New Roman" w:hAnsi="Times New Roman"/>
          <w:lang w:val="en-US"/>
        </w:rPr>
        <w:t>Adjacent tooth crowns: aligned, so that they do not overlap in lateral view (0), angled relative to the long axis of the jaw, so that tooth crowns overlap in lateral view, the mesial margin of each tooth lying lingual to the distal margin of the crown immediately in front (1) (Galton 1985b, 1990a). Wilson and Sereno (1998) use a combined character in which crowns are overlapping and in contact.</w:t>
      </w:r>
    </w:p>
    <w:p>
      <w:pPr>
        <w:pStyle w:val="Normal"/>
        <w:spacing w:lineRule="auto" w:line="360" w:after="80"/>
        <w:rPr/>
        <w:keepLines w:val="0"/>
        <w:numPr>
          <w:ilvl w:val="0"/>
          <w:numId w:val="1"/>
        </w:numPr>
      </w:pPr>
      <w:r>
        <w:rPr>
          <w:rFonts w:ascii="Times New Roman" w:hAnsi="Times New Roman"/>
          <w:lang w:val="en-US"/>
        </w:rPr>
        <w:t xml:space="preserve">Tooth crown serrations: project approximately perpendicular to the long axis of the crown (0), project at approximately 45° to the long axis of the crown (1) (Galton 1984a, 1985e, 1990a). Benton and Storrs (in Benton et al. 2000b) give </w:t>
      </w:r>
      <w:r>
        <w:rPr>
          <w:rFonts w:ascii="Times New Roman" w:hAnsi="Times New Roman"/>
          <w:i/>
          <w:lang w:val="en-US"/>
        </w:rPr>
        <w:t>Barapasaurus</w:t>
      </w:r>
      <w:r>
        <w:rPr>
          <w:rFonts w:ascii="Times New Roman" w:hAnsi="Times New Roman"/>
          <w:lang w:val="en-US"/>
        </w:rPr>
        <w:t xml:space="preserve"> state 0. The only published information on unfigured teeth is that they are coarsely serrated (Jain 1980), but at least one tooth has denticles with a 45° orientation so it must be considered derived (1) (Kutty et al., in prep.).  </w:t>
      </w:r>
    </w:p>
    <w:p>
      <w:pPr>
        <w:pStyle w:val="Normal"/>
        <w:spacing w:lineRule="auto" w:line="360" w:after="80"/>
        <w:rPr/>
        <w:keepLines w:val="0"/>
        <w:numPr>
          <w:ilvl w:val="0"/>
          <w:numId w:val="1"/>
        </w:numPr>
      </w:pPr>
      <w:r>
        <w:rPr>
          <w:rFonts w:ascii="Times New Roman" w:hAnsi="Times New Roman"/>
          <w:lang w:val="en-US"/>
        </w:rPr>
        <w:t>First dentary tooth: at the extreme rostral end of the dentary (0), inset a short distance from the rostral tip of the dentary (1) (Sereno 1989).</w:t>
      </w:r>
    </w:p>
    <w:p>
      <w:pPr>
        <w:pStyle w:val="Normal"/>
        <w:spacing w:lineRule="auto" w:line="360" w:after="80"/>
        <w:rPr/>
        <w:keepLines w:val="0"/>
        <w:numPr>
          <w:ilvl w:val="0"/>
          <w:numId w:val="1"/>
        </w:numPr>
      </w:pPr>
      <w:r>
        <w:rPr>
          <w:rFonts w:ascii="Times New Roman" w:hAnsi="Times New Roman"/>
          <w:lang w:val="en-US"/>
        </w:rPr>
        <w:t>Lingual surfaces of tooth crowns: convex or nearly flat mesiodistally (0), concave mesiodistally (1) (Upchurch 1994a, 1995).</w:t>
      </w:r>
    </w:p>
    <w:p>
      <w:pPr>
        <w:pStyle w:val="Normal"/>
        <w:spacing w:lineRule="auto" w:line="360" w:after="80"/>
        <w:rPr/>
        <w:keepLines w:val="0"/>
        <w:numPr>
          <w:ilvl w:val="0"/>
          <w:numId w:val="1"/>
        </w:numPr>
      </w:pPr>
      <w:r>
        <w:rPr>
          <w:rFonts w:ascii="Times New Roman" w:hAnsi="Times New Roman"/>
          <w:lang w:val="en-US"/>
        </w:rPr>
        <w:t>Prominent grooves near the mesial and distal margins of the labial surface of each tooth crown: absent (0), present (1) (Upchurch 1994a).</w:t>
      </w:r>
    </w:p>
    <w:p>
      <w:pPr>
        <w:pStyle w:val="Normal"/>
        <w:spacing w:lineRule="auto" w:line="360" w:after="80"/>
        <w:rPr/>
        <w:keepLines w:val="0"/>
        <w:numPr>
          <w:ilvl w:val="0"/>
          <w:numId w:val="1"/>
        </w:numPr>
      </w:pPr>
      <w:r>
        <w:rPr>
          <w:rFonts w:ascii="Times New Roman" w:hAnsi="Times New Roman"/>
          <w:lang w:val="en-US"/>
        </w:rPr>
        <w:t>Tooth crowns: all recurved (0), lanceolate in at least the middle and caudal part of the tooth row (1).</w:t>
      </w:r>
    </w:p>
    <w:p>
      <w:pPr>
        <w:pStyle w:val="Normal"/>
        <w:spacing w:lineRule="auto" w:line="360" w:after="80"/>
        <w:rPr/>
        <w:keepLines w:val="0"/>
        <w:numPr>
          <w:ilvl w:val="0"/>
          <w:numId w:val="1"/>
        </w:numPr>
      </w:pPr>
      <w:r>
        <w:rPr>
          <w:rFonts w:ascii="Times New Roman" w:hAnsi="Times New Roman"/>
          <w:lang w:val="en-US"/>
        </w:rPr>
        <w:t>Number of dentary teeth: 18 or more (0), 17 or fewer (1) (Wilson and Sereno 1998).</w:t>
      </w:r>
    </w:p>
    <w:p>
      <w:pPr>
        <w:pStyle w:val="Normal"/>
        <w:tabs>
          <w:tab w:val="clear" w:pos="720"/>
          <w:tab w:val="left" w:pos="2520" w:leader="none"/>
        </w:tabs>
        <w:spacing w:lineRule="auto" w:line="360" w:after="80"/>
        <w:rPr/>
        <w:keepLines w:val="0"/>
        <w:numPr>
          <w:ilvl w:val="0"/>
          <w:numId w:val="1"/>
        </w:numPr>
      </w:pPr>
      <w:r>
        <w:rPr>
          <w:rFonts w:ascii="Times New Roman" w:hAnsi="Times New Roman"/>
          <w:lang w:val="en-US"/>
        </w:rPr>
        <w:t>Number of cervical vertebrae: 9 or fewer (0), 10 or more (1) (Gauthier 1986; Benton and Storrs in Benton et al. 2000b).</w:t>
      </w:r>
    </w:p>
    <w:p>
      <w:pPr>
        <w:pStyle w:val="Normal"/>
        <w:spacing w:lineRule="auto" w:line="360" w:after="80"/>
        <w:rPr/>
        <w:keepLines w:val="0"/>
        <w:numPr>
          <w:ilvl w:val="0"/>
          <w:numId w:val="1"/>
        </w:numPr>
      </w:pPr>
      <w:r>
        <w:rPr>
          <w:rFonts w:ascii="Times New Roman" w:hAnsi="Times New Roman"/>
          <w:lang w:val="en-US"/>
        </w:rPr>
        <w:t>Number of cervical vertebrae: 10 or fewer (0), 12 or more (1) (Upchurch 1994a, 1995, 1998).</w:t>
      </w:r>
    </w:p>
    <w:p>
      <w:pPr>
        <w:pStyle w:val="Normal"/>
        <w:spacing w:lineRule="auto" w:line="360" w:after="80"/>
        <w:rPr/>
        <w:keepLines w:val="0"/>
        <w:numPr>
          <w:ilvl w:val="0"/>
          <w:numId w:val="1"/>
        </w:numPr>
      </w:pPr>
      <w:r>
        <w:rPr>
          <w:rFonts w:ascii="Times New Roman" w:hAnsi="Times New Roman"/>
          <w:lang w:val="en-US"/>
        </w:rPr>
        <w:t>Axial postzygapophyses: project caudally beyond the end of the centrum (0), flush with the end of the centrum (1) (Sereno 1999a).</w:t>
      </w:r>
    </w:p>
    <w:p>
      <w:pPr>
        <w:pStyle w:val="Normal"/>
        <w:spacing w:lineRule="auto" w:line="360" w:after="80"/>
        <w:rPr/>
        <w:keepLines w:val="0"/>
        <w:numPr>
          <w:ilvl w:val="0"/>
          <w:numId w:val="1"/>
        </w:numPr>
      </w:pPr>
      <w:r>
        <w:rPr>
          <w:rFonts w:ascii="Times New Roman" w:hAnsi="Times New Roman"/>
          <w:lang w:val="en-US"/>
        </w:rPr>
        <w:t>Ratio of the length of the axis centrum to its height: less than 3.0 (0), 3.0 or more (1) (Upchurch 1993; Sereno 1999a).</w:t>
      </w:r>
    </w:p>
    <w:p>
      <w:pPr>
        <w:pStyle w:val="Normal"/>
        <w:spacing w:lineRule="auto" w:line="360" w:after="80"/>
        <w:rPr/>
        <w:keepLines w:val="0"/>
        <w:numPr>
          <w:ilvl w:val="0"/>
          <w:numId w:val="1"/>
        </w:numPr>
      </w:pPr>
      <w:r>
        <w:rPr>
          <w:rFonts w:ascii="Times New Roman" w:hAnsi="Times New Roman"/>
          <w:lang w:val="en-US"/>
        </w:rPr>
        <w:t>Ratio of length of longest postaxial cervical centrum to its height: less than 3.0 (0), 3.0 or more (1) (Upchurch 1998).</w:t>
      </w:r>
    </w:p>
    <w:p>
      <w:pPr>
        <w:pStyle w:val="Normal"/>
        <w:spacing w:lineRule="auto" w:line="360" w:after="80"/>
        <w:rPr/>
        <w:keepLines w:val="0"/>
        <w:numPr>
          <w:ilvl w:val="0"/>
          <w:numId w:val="1"/>
        </w:numPr>
      </w:pPr>
      <w:r>
        <w:rPr>
          <w:rFonts w:ascii="Times New Roman" w:hAnsi="Times New Roman"/>
          <w:lang w:val="en-US"/>
        </w:rPr>
        <w:t>Articulations between the cervical centra: amphicoelous/amphiplatyan (0), opisthocoelous (i.e., a cranial hemispherical convexity articulates with a corresponding concavity on the caudal surface of the preceding cervical) (1) (Gauthier 1986; Upchurch 1995).</w:t>
      </w:r>
    </w:p>
    <w:p>
      <w:pPr>
        <w:pStyle w:val="Normal"/>
        <w:spacing w:lineRule="auto" w:line="360" w:after="80"/>
        <w:rPr/>
        <w:keepLines w:val="0"/>
        <w:numPr>
          <w:ilvl w:val="0"/>
          <w:numId w:val="1"/>
        </w:numPr>
      </w:pPr>
      <w:r>
        <w:rPr>
          <w:rFonts w:ascii="Times New Roman" w:hAnsi="Times New Roman"/>
          <w:lang w:val="en-US"/>
        </w:rPr>
        <w:t>Height of the neural arches of the midcervicals: less than the centrum diameter (0), equal to or greater than the centrum diameter (1).</w:t>
      </w:r>
    </w:p>
    <w:p>
      <w:pPr>
        <w:pStyle w:val="Normal"/>
        <w:spacing w:lineRule="auto" w:line="360" w:after="80"/>
        <w:rPr/>
        <w:keepLines w:val="0"/>
        <w:numPr>
          <w:ilvl w:val="0"/>
          <w:numId w:val="1"/>
        </w:numPr>
      </w:pPr>
      <w:r>
        <w:rPr>
          <w:rFonts w:ascii="Times New Roman" w:hAnsi="Times New Roman"/>
          <w:lang w:val="en-US"/>
        </w:rPr>
        <w:t>Height of the midcervical neural arches: equal to or less than the centrum diameter (0), greater than the centrum diameter (1) (Wilson and Sereno 1998).</w:t>
      </w:r>
    </w:p>
    <w:p>
      <w:pPr>
        <w:pStyle w:val="Normal"/>
        <w:spacing w:lineRule="auto" w:line="360" w:after="80"/>
        <w:rPr/>
        <w:keepLines w:val="0"/>
        <w:numPr>
          <w:ilvl w:val="0"/>
          <w:numId w:val="1"/>
        </w:numPr>
      </w:pPr>
      <w:r>
        <w:rPr>
          <w:rFonts w:ascii="Times New Roman" w:hAnsi="Times New Roman"/>
          <w:lang w:val="en-US"/>
        </w:rPr>
        <w:t>Centrodiapophyseal lamina system: restricted to the dorsal vertebrae and caudal cervicals (0), found on all presacral vertebrae (1) (Galton 1990a, modified; Upchurch 1995).</w:t>
      </w:r>
    </w:p>
    <w:p>
      <w:pPr>
        <w:pStyle w:val="Normal"/>
        <w:spacing w:lineRule="auto" w:line="360" w:after="80"/>
        <w:rPr/>
        <w:keepLines w:val="0"/>
        <w:numPr>
          <w:ilvl w:val="0"/>
          <w:numId w:val="1"/>
        </w:numPr>
      </w:pPr>
      <w:r>
        <w:rPr>
          <w:rFonts w:ascii="Times New Roman" w:hAnsi="Times New Roman"/>
          <w:lang w:val="en-US"/>
        </w:rPr>
        <w:t>Ratios of length of caudal dorsal centra to their height: less than 1.0 (0), greater than 1.0 (1).</w:t>
      </w:r>
    </w:p>
    <w:p>
      <w:pPr>
        <w:pStyle w:val="Normal"/>
        <w:spacing w:lineRule="auto" w:line="360" w:after="80"/>
        <w:rPr/>
        <w:keepLines w:val="0"/>
        <w:numPr>
          <w:ilvl w:val="0"/>
          <w:numId w:val="1"/>
        </w:numPr>
      </w:pPr>
      <w:r>
        <w:rPr>
          <w:rFonts w:ascii="Times New Roman" w:hAnsi="Times New Roman"/>
          <w:lang w:val="en-US"/>
        </w:rPr>
        <w:t>Height of dorsal the neural arches, from the top of the centrum to the level of the zygapophyses: low, i.e., less than that of the centrum (0), high, i.e., subequal to or greater than that of the centrum (1) (Bonaparte 1986b).</w:t>
      </w:r>
    </w:p>
    <w:p>
      <w:pPr>
        <w:pStyle w:val="Normal"/>
        <w:spacing w:lineRule="auto" w:line="360" w:after="80"/>
        <w:rPr/>
        <w:keepLines w:val="0"/>
        <w:numPr>
          <w:ilvl w:val="0"/>
          <w:numId w:val="1"/>
        </w:numPr>
      </w:pPr>
      <w:r>
        <w:rPr>
          <w:rFonts w:ascii="Times New Roman" w:hAnsi="Times New Roman"/>
          <w:lang w:val="en-US"/>
        </w:rPr>
        <w:t>Cranial face of the dorsal neural arch: flat or shallowly excavated (0), deeply excavated, forming a large cavity above the neural canal (1) (Bonaparte 1986b).</w:t>
      </w:r>
    </w:p>
    <w:p>
      <w:pPr>
        <w:pStyle w:val="Normal"/>
        <w:spacing w:lineRule="auto" w:line="360" w:after="80"/>
        <w:rPr/>
        <w:keepLines w:val="0"/>
        <w:numPr>
          <w:ilvl w:val="0"/>
          <w:numId w:val="1"/>
        </w:numPr>
      </w:pPr>
      <w:r>
        <w:rPr>
          <w:rFonts w:ascii="Times New Roman" w:hAnsi="Times New Roman"/>
          <w:lang w:val="en-US"/>
        </w:rPr>
        <w:t>Cranial dorsal transverse processes: directed laterally or slightly upward (0), directed strongly dorsolaterally (1).</w:t>
      </w:r>
    </w:p>
    <w:p>
      <w:pPr>
        <w:pStyle w:val="Normal"/>
        <w:spacing w:lineRule="auto" w:line="360" w:after="80"/>
        <w:rPr/>
        <w:keepLines w:val="0"/>
        <w:numPr>
          <w:ilvl w:val="0"/>
          <w:numId w:val="1"/>
        </w:numPr>
      </w:pPr>
      <w:r>
        <w:rPr>
          <w:rFonts w:ascii="Times New Roman" w:hAnsi="Times New Roman"/>
          <w:lang w:val="en-US"/>
        </w:rPr>
        <w:t>Laminae (prezygodiapophyseal) linking the prezygapophyses to the transverse processes on the caudal dorsal vertebrae: present (0), absent (1) (Bonaparte 1986b, modified, character originally formed with reference to sauropods).</w:t>
      </w:r>
    </w:p>
    <w:p>
      <w:pPr>
        <w:pStyle w:val="Normal"/>
        <w:spacing w:lineRule="auto" w:line="360" w:after="80"/>
        <w:rPr/>
        <w:keepLines w:val="0"/>
        <w:numPr>
          <w:ilvl w:val="0"/>
          <w:numId w:val="1"/>
        </w:numPr>
      </w:pPr>
      <w:r>
        <w:rPr>
          <w:rFonts w:ascii="Times New Roman" w:hAnsi="Times New Roman"/>
          <w:lang w:val="en-US"/>
        </w:rPr>
        <w:t>Prezygodiapophyseal lamina on the cranial dorsals: present (0), absent (1).</w:t>
      </w:r>
    </w:p>
    <w:p>
      <w:pPr>
        <w:pStyle w:val="Normal"/>
        <w:spacing w:lineRule="auto" w:line="360" w:after="80"/>
        <w:rPr/>
        <w:keepLines w:val="0"/>
        <w:numPr>
          <w:ilvl w:val="0"/>
          <w:numId w:val="1"/>
        </w:numPr>
      </w:pPr>
      <w:r>
        <w:rPr>
          <w:rFonts w:ascii="Times New Roman" w:hAnsi="Times New Roman"/>
          <w:lang w:val="en-US"/>
        </w:rPr>
        <w:t>Spinopostzygapophyseal laminae on the dorsal neural spines: absent or weakly developed, terminating below the summit of the spine (0), present, extending to the top of the spine (1) (Bonaparte 1986b).</w:t>
      </w:r>
    </w:p>
    <w:p>
      <w:pPr>
        <w:pStyle w:val="Normal"/>
        <w:spacing w:lineRule="auto" w:line="360" w:after="80"/>
        <w:rPr/>
        <w:keepLines w:val="0"/>
        <w:numPr>
          <w:ilvl w:val="0"/>
          <w:numId w:val="1"/>
        </w:numPr>
      </w:pPr>
      <w:r>
        <w:rPr>
          <w:rFonts w:ascii="Times New Roman" w:hAnsi="Times New Roman"/>
          <w:lang w:val="en-US"/>
        </w:rPr>
        <w:t>Spinodiapophyseal lamina on the middle and caudal dorsal vertebrae: absent (0), present (1) (Upchurch 1998; Wilson and Sereno 1998; Wilson 1999). The spinodiapophyseal lamina is a lamina or ridge that extends from the dorsal surface of the transverse process to the cranial surface of the spinopostzygapophyseal lamina.</w:t>
      </w:r>
    </w:p>
    <w:p>
      <w:pPr>
        <w:pStyle w:val="Normal"/>
        <w:spacing w:lineRule="auto" w:line="360" w:after="80"/>
        <w:rPr/>
        <w:keepLines w:val="0"/>
        <w:numPr>
          <w:ilvl w:val="0"/>
          <w:numId w:val="1"/>
        </w:numPr>
      </w:pPr>
      <w:r>
        <w:rPr>
          <w:rFonts w:ascii="Times New Roman" w:hAnsi="Times New Roman"/>
          <w:lang w:val="en-US"/>
        </w:rPr>
        <w:t>Ratio of hindlimb length to trunk length: 1.0 or less (0), greater than 1.0 (l) (Galton 1971a, 1990a). Benton and Storrs (in Benton et al. 2000b) use the opposite polarity and code the states with a different distribution.</w:t>
      </w:r>
    </w:p>
    <w:p>
      <w:pPr>
        <w:pStyle w:val="Normal"/>
        <w:spacing w:lineRule="auto" w:line="360" w:after="80"/>
        <w:rPr/>
        <w:keepLines w:val="0"/>
        <w:numPr>
          <w:ilvl w:val="0"/>
          <w:numId w:val="1"/>
        </w:numPr>
      </w:pPr>
      <w:r>
        <w:rPr>
          <w:rFonts w:ascii="Times New Roman" w:hAnsi="Times New Roman"/>
          <w:lang w:val="en-US"/>
        </w:rPr>
        <w:t xml:space="preserve">Sacral number: 2 (0), 3 (via the addition of a caudosacral (1) (Charig et al. 1965; Galton 1971a, 1999b, 2001c). </w:t>
      </w:r>
    </w:p>
    <w:p>
      <w:pPr>
        <w:pStyle w:val="Normal"/>
        <w:spacing w:lineRule="auto" w:line="360" w:after="80"/>
        <w:rPr/>
        <w:keepLines w:val="0"/>
        <w:numPr>
          <w:ilvl w:val="0"/>
          <w:numId w:val="1"/>
        </w:numPr>
      </w:pPr>
      <w:r>
        <w:rPr>
          <w:rFonts w:ascii="Times New Roman" w:hAnsi="Times New Roman"/>
          <w:lang w:val="en-US"/>
        </w:rPr>
        <w:t>Sacral number: 2 (0), 3 (via the addition of a dorsosacral) (1) (Novas 1996a; Galton 1999b, 2001c).</w:t>
      </w:r>
    </w:p>
    <w:p>
      <w:pPr>
        <w:pStyle w:val="Normal"/>
        <w:spacing w:lineRule="auto" w:line="360" w:after="80"/>
        <w:rPr/>
        <w:keepLines w:val="0"/>
        <w:numPr>
          <w:ilvl w:val="0"/>
          <w:numId w:val="1"/>
        </w:numPr>
      </w:pPr>
      <w:r>
        <w:rPr>
          <w:rFonts w:ascii="Times New Roman" w:hAnsi="Times New Roman"/>
          <w:lang w:val="en-US"/>
        </w:rPr>
        <w:t>Sacrocostal yoke (distal ends of sacral ribs fused together): absent (0), present (1) (Wilson and Sereno 1998, modified; Galton 2001b).</w:t>
      </w:r>
    </w:p>
    <w:p>
      <w:pPr>
        <w:pStyle w:val="Normal"/>
        <w:spacing w:lineRule="auto" w:line="360" w:after="80"/>
        <w:rPr/>
        <w:keepLines w:val="0"/>
        <w:numPr>
          <w:ilvl w:val="0"/>
          <w:numId w:val="1"/>
        </w:numPr>
      </w:pPr>
      <w:r>
        <w:rPr>
          <w:rFonts w:ascii="Times New Roman" w:hAnsi="Times New Roman"/>
          <w:lang w:val="en-US"/>
        </w:rPr>
        <w:t>Sacrocostal yoke does not (0) or does (1) contribute to the dorsal rim of the acetabulum (Wilson and Sereno 1998, modified; Galton 2001b).</w:t>
      </w:r>
    </w:p>
    <w:p>
      <w:pPr>
        <w:pStyle w:val="Normal"/>
        <w:spacing w:lineRule="auto" w:line="360" w:after="80"/>
        <w:rPr/>
        <w:keepLines w:val="0"/>
        <w:numPr>
          <w:ilvl w:val="0"/>
          <w:numId w:val="1"/>
        </w:numPr>
      </w:pPr>
      <w:r>
        <w:rPr>
          <w:rFonts w:ascii="Times New Roman" w:hAnsi="Times New Roman"/>
          <w:lang w:val="en-US"/>
        </w:rPr>
        <w:t xml:space="preserve">Ratio of the centrum length to height (in the most proximal caudals): ca. 1.0 or more (0), ca. 0.5–0.6 (1) (Galton 1985d; Gauthier 1986, modified; Upchurch 1995). Centrum length excludes the length of the articular ball in procoelous and opisthocoelous caudals. </w:t>
      </w:r>
      <w:r>
        <w:rPr>
          <w:rFonts w:ascii="Times New Roman" w:hAnsi="Times New Roman"/>
          <w:i/>
          <w:lang w:val="en-US"/>
        </w:rPr>
        <w:t>Massospondylus</w:t>
      </w:r>
      <w:r>
        <w:rPr>
          <w:rFonts w:ascii="Times New Roman" w:hAnsi="Times New Roman"/>
          <w:lang w:val="en-US"/>
        </w:rPr>
        <w:t xml:space="preserve"> has the plesiomorphic state in smaller individuals and the derived state in adults (Cooper 1981b).</w:t>
      </w:r>
    </w:p>
    <w:p>
      <w:pPr>
        <w:pStyle w:val="Normal"/>
        <w:spacing w:lineRule="auto" w:line="360" w:after="80"/>
        <w:rPr/>
        <w:keepLines w:val="0"/>
        <w:numPr>
          <w:ilvl w:val="0"/>
          <w:numId w:val="1"/>
        </w:numPr>
      </w:pPr>
      <w:r>
        <w:rPr>
          <w:rFonts w:ascii="Times New Roman" w:hAnsi="Times New Roman"/>
          <w:lang w:val="en-US"/>
        </w:rPr>
        <w:t>Caudal hyposphenal ridge: absent (0), present (l). In many sauropods the proximal caudals possess a hyposphenal ridge that extends from the ventral midline junction of the postzygapophyses to the top of the neural canal.</w:t>
      </w:r>
    </w:p>
    <w:p>
      <w:pPr>
        <w:pStyle w:val="Normal"/>
        <w:spacing w:lineRule="auto" w:line="360" w:after="80"/>
        <w:rPr/>
        <w:keepLines w:val="0"/>
        <w:numPr>
          <w:ilvl w:val="0"/>
          <w:numId w:val="1"/>
        </w:numPr>
      </w:pPr>
      <w:r>
        <w:rPr>
          <w:rFonts w:ascii="Times New Roman" w:hAnsi="Times New Roman"/>
          <w:lang w:val="en-US"/>
        </w:rPr>
        <w:t>Disappearance of the caudal ribs: on caudal 20 or more distally (0), on caudals 14–16 or more cranially (l) (Upchurch 1998).</w:t>
      </w:r>
    </w:p>
    <w:p>
      <w:pPr>
        <w:pStyle w:val="Normal"/>
        <w:spacing w:lineRule="auto" w:line="360" w:after="80"/>
        <w:rPr/>
        <w:keepLines w:val="0"/>
        <w:numPr>
          <w:ilvl w:val="0"/>
          <w:numId w:val="1"/>
        </w:numPr>
      </w:pPr>
      <w:r>
        <w:rPr>
          <w:rFonts w:ascii="Times New Roman" w:hAnsi="Times New Roman"/>
          <w:lang w:val="en-US"/>
        </w:rPr>
        <w:t>Forked or skidlike middle and distal chevrons: absent (0), present (1) (Berman and McIntosh 1978; Upchurch 1995). Forked chevrons possess a prominent cranial process, resulting in the axial length of the chevron greatly exceeding its height.</w:t>
      </w:r>
    </w:p>
    <w:p>
      <w:pPr>
        <w:pStyle w:val="Normal"/>
        <w:spacing w:lineRule="auto" w:line="360" w:after="80"/>
        <w:rPr/>
        <w:keepLines w:val="0"/>
        <w:numPr>
          <w:ilvl w:val="0"/>
          <w:numId w:val="1"/>
        </w:numPr>
      </w:pPr>
      <w:r>
        <w:rPr>
          <w:rFonts w:ascii="Times New Roman" w:hAnsi="Times New Roman"/>
          <w:lang w:val="en-US"/>
        </w:rPr>
        <w:t>Ratio of forelimb length to hindlimb length: less than 0.60 (0): 0.60 or more (1) (McIntosh 1990a; Upchurch 1994a).</w:t>
      </w:r>
    </w:p>
    <w:p>
      <w:pPr>
        <w:pStyle w:val="Normal"/>
        <w:spacing w:lineRule="auto" w:line="360" w:after="80"/>
        <w:rPr/>
        <w:keepLines w:val="0"/>
        <w:numPr>
          <w:ilvl w:val="0"/>
          <w:numId w:val="1"/>
        </w:numPr>
      </w:pPr>
      <w:r>
        <w:rPr>
          <w:rFonts w:ascii="Times New Roman" w:hAnsi="Times New Roman"/>
          <w:lang w:val="en-US"/>
        </w:rPr>
        <w:t>Ratio of forelimb length to hindlimb length: less than 0.75 (0), 0.75 or more (1) (Gauthier 1986; McIntosh 1990a; Upchurch 1994a).</w:t>
      </w:r>
    </w:p>
    <w:p>
      <w:pPr>
        <w:pStyle w:val="Normal"/>
        <w:spacing w:lineRule="auto" w:line="360" w:after="80"/>
        <w:rPr/>
        <w:keepLines w:val="0"/>
        <w:numPr>
          <w:ilvl w:val="0"/>
          <w:numId w:val="1"/>
        </w:numPr>
      </w:pPr>
      <w:r>
        <w:rPr>
          <w:rFonts w:ascii="Times New Roman" w:hAnsi="Times New Roman"/>
          <w:lang w:val="en-US"/>
        </w:rPr>
        <w:t>Deltopectoral crest: at an angle of 45°–60° to the transverse axis of the distal condyles (0), perpendicular to the transverse axis of the distal condyles (1) (Sereno 1999a).</w:t>
      </w:r>
    </w:p>
    <w:p>
      <w:pPr>
        <w:pStyle w:val="Normal"/>
        <w:spacing w:lineRule="auto" w:line="360" w:after="80"/>
        <w:rPr/>
        <w:keepLines w:val="0"/>
        <w:numPr>
          <w:ilvl w:val="0"/>
          <w:numId w:val="1"/>
        </w:numPr>
      </w:pPr>
      <w:r>
        <w:rPr>
          <w:rFonts w:ascii="Times New Roman" w:hAnsi="Times New Roman"/>
          <w:lang w:val="en-US"/>
        </w:rPr>
        <w:t xml:space="preserve">Deltopectoral crest: terminates at less than 50% of the humerus length from its proximal end (0), terminates at at least 50% of the humerus length from the proximal end (1) (Galton 1990a; Benton and Storrs in Benton et al. 2000b). </w:t>
      </w:r>
      <w:r>
        <w:rPr>
          <w:rFonts w:ascii="Times New Roman" w:hAnsi="Times New Roman"/>
          <w:i/>
          <w:lang w:val="en-US"/>
        </w:rPr>
        <w:t>Euskelosaurus</w:t>
      </w:r>
      <w:r>
        <w:rPr>
          <w:rFonts w:ascii="Times New Roman" w:hAnsi="Times New Roman"/>
          <w:lang w:val="en-US"/>
        </w:rPr>
        <w:t xml:space="preserve"> (Heerden 1979) and </w:t>
      </w:r>
      <w:r>
        <w:rPr>
          <w:rFonts w:ascii="Times New Roman" w:hAnsi="Times New Roman"/>
          <w:i/>
          <w:lang w:val="en-US"/>
        </w:rPr>
        <w:t>Riojasaurus</w:t>
      </w:r>
      <w:r>
        <w:rPr>
          <w:rFonts w:ascii="Times New Roman" w:hAnsi="Times New Roman"/>
          <w:lang w:val="en-US"/>
        </w:rPr>
        <w:t xml:space="preserve"> (Bonaparte 1972) have the plesiomorphic state in smaller individuals and the derived state in larger ones. Benton and Storrs (in Benton et al. 2000b) give </w:t>
      </w:r>
      <w:r>
        <w:rPr>
          <w:rFonts w:ascii="Times New Roman" w:hAnsi="Times New Roman"/>
          <w:i/>
          <w:lang w:val="en-US"/>
        </w:rPr>
        <w:t>Euskelosaurus</w:t>
      </w:r>
      <w:r>
        <w:rPr>
          <w:rFonts w:ascii="Times New Roman" w:hAnsi="Times New Roman"/>
          <w:lang w:val="en-US"/>
        </w:rPr>
        <w:t xml:space="preserve"> the plesiomorphic state. Sereno (1999a) gives </w:t>
      </w:r>
      <w:r>
        <w:rPr>
          <w:rFonts w:ascii="Times New Roman" w:hAnsi="Times New Roman"/>
          <w:i/>
          <w:lang w:val="en-US"/>
        </w:rPr>
        <w:t>“Gyposaurus” sinensis</w:t>
      </w:r>
      <w:r>
        <w:rPr>
          <w:rFonts w:ascii="Times New Roman" w:hAnsi="Times New Roman"/>
          <w:lang w:val="en-US"/>
        </w:rPr>
        <w:t xml:space="preserve"> the derived state. The figures in Young 1941b suggest that the crest terminates at 44% of the humerus length from the proximal end, and Young states that the crest ends some way above the midpoint of the bone.</w:t>
      </w:r>
    </w:p>
    <w:p>
      <w:pPr>
        <w:pStyle w:val="Normal"/>
        <w:spacing w:lineRule="auto" w:line="360" w:after="80"/>
        <w:rPr/>
        <w:keepLines w:val="0"/>
        <w:numPr>
          <w:ilvl w:val="0"/>
          <w:numId w:val="1"/>
        </w:numPr>
      </w:pPr>
      <w:r>
        <w:rPr>
          <w:rFonts w:ascii="Times New Roman" w:hAnsi="Times New Roman"/>
          <w:lang w:val="en-US"/>
        </w:rPr>
        <w:t>Deltopectoral crest: visible in caudal view (because the crest projects laterally beyond the rest of the shaft) (0), not visible in caudal view (1) (Gauffre 1996).</w:t>
      </w:r>
    </w:p>
    <w:p>
      <w:pPr>
        <w:pStyle w:val="Normal"/>
        <w:spacing w:lineRule="auto" w:line="360" w:after="80"/>
        <w:rPr/>
        <w:keepLines w:val="0"/>
        <w:numPr>
          <w:ilvl w:val="0"/>
          <w:numId w:val="1"/>
        </w:numPr>
      </w:pPr>
      <w:r>
        <w:rPr>
          <w:rFonts w:ascii="Times New Roman" w:hAnsi="Times New Roman"/>
          <w:lang w:val="en-US"/>
        </w:rPr>
        <w:t>Deltopectoral crest: prominent (0), reduced to a low ridge (1) (Wilson and Sereno 1998).</w:t>
      </w:r>
    </w:p>
    <w:p>
      <w:pPr>
        <w:pStyle w:val="Normal"/>
        <w:spacing w:lineRule="auto" w:line="360" w:after="80"/>
        <w:rPr/>
        <w:keepLines w:val="0"/>
        <w:numPr>
          <w:ilvl w:val="0"/>
          <w:numId w:val="1"/>
        </w:numPr>
      </w:pPr>
      <w:r>
        <w:rPr>
          <w:rFonts w:ascii="Times New Roman" w:hAnsi="Times New Roman"/>
          <w:lang w:val="en-US"/>
        </w:rPr>
        <w:t>Proximal end of the ulna: subtriangular in outline and lacking a groove for reception of the radius (0), triradiate because of a deep groove for reception of the radius (1) (Wilson and Sereno 1998).</w:t>
      </w:r>
    </w:p>
    <w:p>
      <w:pPr>
        <w:pStyle w:val="Normal"/>
        <w:spacing w:lineRule="auto" w:line="360" w:after="80"/>
        <w:rPr/>
        <w:keepLines w:val="0"/>
        <w:numPr>
          <w:ilvl w:val="0"/>
          <w:numId w:val="1"/>
        </w:numPr>
      </w:pPr>
      <w:r>
        <w:rPr>
          <w:rFonts w:ascii="Times New Roman" w:hAnsi="Times New Roman"/>
          <w:lang w:val="en-US"/>
        </w:rPr>
        <w:t>Olecranon: present as a prominent projection (0), almost completely absent (1) (Upchurch 1995, 1998, modified; Wilson and Sereno 1998).</w:t>
      </w:r>
    </w:p>
    <w:p>
      <w:pPr>
        <w:pStyle w:val="Normal"/>
        <w:spacing w:lineRule="auto" w:line="360" w:after="80"/>
        <w:rPr/>
        <w:keepLines w:val="0"/>
        <w:numPr>
          <w:ilvl w:val="0"/>
          <w:numId w:val="1"/>
        </w:numPr>
      </w:pPr>
      <w:r>
        <w:rPr>
          <w:rFonts w:ascii="Times New Roman" w:hAnsi="Times New Roman"/>
          <w:lang w:val="en-US"/>
        </w:rPr>
        <w:t>Ratio of the radius length to the humerus length: 0.70 or less (0), 0.90 or higher (1).</w:t>
      </w:r>
    </w:p>
    <w:p>
      <w:pPr>
        <w:pStyle w:val="Normal"/>
        <w:spacing w:lineRule="auto" w:line="360" w:after="80"/>
        <w:rPr/>
        <w:keepLines w:val="0"/>
        <w:numPr>
          <w:ilvl w:val="0"/>
          <w:numId w:val="1"/>
        </w:numPr>
      </w:pPr>
      <w:r>
        <w:rPr>
          <w:rFonts w:ascii="Times New Roman" w:hAnsi="Times New Roman"/>
          <w:lang w:val="en-US"/>
        </w:rPr>
        <w:t>Distal condyle of the radius: subcircular or oval in outline (0), subrectangular with a flattened caudal margin for articulation with the ulna (1) (Wilson and Sereno 1998).</w:t>
      </w:r>
    </w:p>
    <w:p>
      <w:pPr>
        <w:pStyle w:val="Normal"/>
        <w:spacing w:lineRule="auto" w:line="360" w:after="80"/>
        <w:rPr/>
        <w:keepLines w:val="0"/>
        <w:numPr>
          <w:ilvl w:val="0"/>
          <w:numId w:val="1"/>
        </w:numPr>
      </w:pPr>
      <w:r>
        <w:rPr>
          <w:rFonts w:ascii="Times New Roman" w:hAnsi="Times New Roman"/>
          <w:lang w:val="en-US"/>
        </w:rPr>
        <w:t>Proximal carpals: present as ossifications (0), absent or fail to ossify (1) (Gauthier 1986).</w:t>
      </w:r>
    </w:p>
    <w:p>
      <w:pPr>
        <w:pStyle w:val="Normal"/>
        <w:spacing w:lineRule="auto" w:line="360" w:after="80"/>
        <w:rPr/>
        <w:keepLines w:val="0"/>
        <w:numPr>
          <w:ilvl w:val="0"/>
          <w:numId w:val="1"/>
        </w:numPr>
      </w:pPr>
      <w:r>
        <w:rPr>
          <w:rFonts w:ascii="Times New Roman" w:hAnsi="Times New Roman"/>
          <w:lang w:val="en-US"/>
        </w:rPr>
        <w:t xml:space="preserve">First distal carpal: narrower transversely than metacarpal I (0), subequal or greater in transverse width compared with metacarpal I (1) (Sereno 1989, modified). Benton and Storrs (in Benton et al. 2000b) give </w:t>
      </w:r>
      <w:r>
        <w:rPr>
          <w:rFonts w:ascii="Times New Roman" w:hAnsi="Times New Roman"/>
          <w:i/>
          <w:lang w:val="en-US"/>
        </w:rPr>
        <w:t>Thecodontosaurus</w:t>
      </w:r>
      <w:r>
        <w:rPr>
          <w:rFonts w:ascii="Times New Roman" w:hAnsi="Times New Roman"/>
          <w:lang w:val="en-US"/>
        </w:rPr>
        <w:t xml:space="preserve"> state ? and </w:t>
      </w:r>
      <w:r>
        <w:rPr>
          <w:rFonts w:ascii="Times New Roman" w:hAnsi="Times New Roman"/>
          <w:i/>
          <w:lang w:val="en-US"/>
        </w:rPr>
        <w:t>Anchisaurus</w:t>
      </w:r>
      <w:r>
        <w:rPr>
          <w:rFonts w:ascii="Times New Roman" w:hAnsi="Times New Roman"/>
          <w:lang w:val="en-US"/>
        </w:rPr>
        <w:t xml:space="preserve"> the plesiomorphic state.</w:t>
      </w:r>
    </w:p>
    <w:p>
      <w:pPr>
        <w:pStyle w:val="Normal"/>
        <w:spacing w:lineRule="auto" w:line="360" w:after="80"/>
        <w:rPr/>
        <w:keepLines w:val="0"/>
        <w:numPr>
          <w:ilvl w:val="0"/>
          <w:numId w:val="1"/>
        </w:numPr>
      </w:pPr>
      <w:r>
        <w:rPr>
          <w:rFonts w:ascii="Times New Roman" w:hAnsi="Times New Roman"/>
          <w:lang w:val="en-US"/>
        </w:rPr>
        <w:t xml:space="preserve">Metacarpal I length: at least twice its proximal width (0), subequal to its proximal width (1) (Galton and Cluver 1976; Benton and Storrs in Benton et al. 2000b, modified). </w:t>
      </w:r>
      <w:r>
        <w:rPr>
          <w:rFonts w:ascii="Times New Roman" w:hAnsi="Times New Roman"/>
          <w:i/>
          <w:lang w:val="en-US"/>
        </w:rPr>
        <w:t>Sellosaurus</w:t>
      </w:r>
      <w:r>
        <w:rPr>
          <w:rFonts w:ascii="Times New Roman" w:hAnsi="Times New Roman"/>
          <w:lang w:val="en-US"/>
        </w:rPr>
        <w:t xml:space="preserve"> is polymorphic, with juveniles possessing the primitive slender metacarpal I and adults having the derived robust version.</w:t>
      </w:r>
    </w:p>
    <w:p>
      <w:pPr>
        <w:pStyle w:val="Normal"/>
        <w:spacing w:lineRule="auto" w:line="360" w:after="80"/>
        <w:rPr/>
        <w:keepLines w:val="0"/>
        <w:numPr>
          <w:ilvl w:val="0"/>
          <w:numId w:val="1"/>
        </w:numPr>
      </w:pPr>
      <w:r>
        <w:rPr>
          <w:rFonts w:ascii="Times New Roman" w:hAnsi="Times New Roman"/>
          <w:lang w:val="en-US"/>
        </w:rPr>
        <w:t>Metacarpal V: reduced or absent (0): large, robust, and approximately 90% of the length of the longest metacarpal (1).</w:t>
      </w:r>
    </w:p>
    <w:p>
      <w:pPr>
        <w:pStyle w:val="Normal"/>
        <w:spacing w:lineRule="auto" w:line="360" w:after="80"/>
        <w:rPr/>
        <w:keepLines w:val="0"/>
        <w:numPr>
          <w:ilvl w:val="0"/>
          <w:numId w:val="1"/>
        </w:numPr>
      </w:pPr>
      <w:r>
        <w:rPr>
          <w:rFonts w:ascii="Times New Roman" w:hAnsi="Times New Roman"/>
          <w:lang w:val="en-US"/>
        </w:rPr>
        <w:t>First phalanx on digit I: proximal heel absent (0), proximal heel present (1) (Sereno 1999a).</w:t>
      </w:r>
    </w:p>
    <w:p>
      <w:pPr>
        <w:pStyle w:val="Normal"/>
        <w:spacing w:lineRule="auto" w:line="360" w:after="80"/>
        <w:rPr/>
        <w:keepLines w:val="0"/>
        <w:numPr>
          <w:ilvl w:val="0"/>
          <w:numId w:val="1"/>
        </w:numPr>
      </w:pPr>
      <w:r>
        <w:rPr>
          <w:rFonts w:ascii="Times New Roman" w:hAnsi="Times New Roman"/>
          <w:lang w:val="en-US"/>
        </w:rPr>
        <w:t>First phalanx of manual digit I, axes of the proximal and distal articular surfaces: in the same plane (0), twisted, so that they are at an angle of ca. 45° to each other (1) (Galton 1971a, 1990a, 2001a; Benton and Storrs in Benton et al. 2000b).</w:t>
      </w:r>
    </w:p>
    <w:p>
      <w:pPr>
        <w:pStyle w:val="Normal"/>
        <w:spacing w:lineRule="auto" w:line="360" w:after="80"/>
        <w:rPr/>
        <w:keepLines w:val="0"/>
        <w:numPr>
          <w:ilvl w:val="0"/>
          <w:numId w:val="1"/>
        </w:numPr>
      </w:pPr>
      <w:r>
        <w:rPr>
          <w:rFonts w:ascii="Times New Roman" w:hAnsi="Times New Roman"/>
          <w:lang w:val="en-US"/>
        </w:rPr>
        <w:t>Cranial process of the ilium: lacks a scar (0), scar present (1) (Sereno 1999a).</w:t>
      </w:r>
    </w:p>
    <w:p>
      <w:pPr>
        <w:pStyle w:val="Normal"/>
        <w:spacing w:lineRule="auto" w:line="360" w:after="80"/>
        <w:rPr/>
        <w:keepLines w:val="0"/>
        <w:numPr>
          <w:ilvl w:val="0"/>
          <w:numId w:val="1"/>
        </w:numPr>
      </w:pPr>
      <w:r>
        <w:rPr>
          <w:rFonts w:ascii="Times New Roman" w:hAnsi="Times New Roman"/>
          <w:lang w:val="en-US"/>
        </w:rPr>
        <w:t>Cranial process of the ilium: terminates behind the level of the distal end of the pubic process (0), projects further cranially than the distal end of the pubic process (1) (Galton 1971a, 1976b, 1990a; Gauffre 1996).</w:t>
      </w:r>
    </w:p>
    <w:p>
      <w:pPr>
        <w:pStyle w:val="Normal"/>
        <w:spacing w:lineRule="auto" w:line="360" w:after="80"/>
        <w:rPr/>
        <w:keepLines w:val="0"/>
        <w:numPr>
          <w:ilvl w:val="0"/>
          <w:numId w:val="1"/>
        </w:numPr>
      </w:pPr>
      <w:r>
        <w:rPr>
          <w:rFonts w:ascii="Times New Roman" w:hAnsi="Times New Roman"/>
          <w:lang w:val="en-US"/>
        </w:rPr>
        <w:t>Cranial process of the ilium: long and slender, or short (0), large with a broad triangular outline in lateral view (1).</w:t>
      </w:r>
    </w:p>
    <w:p>
      <w:pPr>
        <w:pStyle w:val="Normal"/>
        <w:spacing w:lineRule="auto" w:line="360" w:after="80"/>
        <w:rPr/>
        <w:keepLines w:val="0"/>
        <w:numPr>
          <w:ilvl w:val="0"/>
          <w:numId w:val="1"/>
        </w:numPr>
      </w:pPr>
      <w:r>
        <w:rPr>
          <w:rFonts w:ascii="Times New Roman" w:hAnsi="Times New Roman"/>
          <w:lang w:val="en-US"/>
        </w:rPr>
        <w:t xml:space="preserve">Area between the cranial process of the ilium and the pubic peduncle in lateral view: gently curved (0), acute (1). Gauffre (1996) gives </w:t>
      </w:r>
      <w:r>
        <w:rPr>
          <w:rFonts w:ascii="Times New Roman" w:hAnsi="Times New Roman"/>
          <w:i/>
          <w:lang w:val="en-US"/>
        </w:rPr>
        <w:t>Ammosaurus</w:t>
      </w:r>
      <w:r>
        <w:rPr>
          <w:rFonts w:ascii="Times New Roman" w:hAnsi="Times New Roman"/>
          <w:lang w:val="en-US"/>
        </w:rPr>
        <w:t xml:space="preserve"> state ?</w:t>
      </w:r>
    </w:p>
    <w:p>
      <w:pPr>
        <w:pStyle w:val="Normal"/>
        <w:spacing w:lineRule="auto" w:line="360" w:after="80"/>
        <w:rPr/>
        <w:keepLines w:val="0"/>
        <w:numPr>
          <w:ilvl w:val="0"/>
          <w:numId w:val="1"/>
        </w:numPr>
      </w:pPr>
      <w:r>
        <w:rPr>
          <w:rFonts w:ascii="Times New Roman" w:hAnsi="Times New Roman"/>
          <w:lang w:val="en-US"/>
        </w:rPr>
        <w:t xml:space="preserve">Iliac portion of the acetabulum: partially backed by a wall of bone (0), almost completely open (1) (Gauthier 1986). Benton and Storrs (in Benton et al. 2000a) give </w:t>
      </w:r>
      <w:r>
        <w:rPr>
          <w:rFonts w:ascii="Times New Roman" w:hAnsi="Times New Roman"/>
          <w:i/>
          <w:lang w:val="en-US"/>
        </w:rPr>
        <w:t>Thecodontosaurus</w:t>
      </w:r>
      <w:r>
        <w:rPr>
          <w:rFonts w:ascii="Times New Roman" w:hAnsi="Times New Roman"/>
          <w:lang w:val="en-US"/>
        </w:rPr>
        <w:t xml:space="preserve"> the derived state, but this is contradicted by Huene (1907–8:pl. xxxiv). </w:t>
      </w:r>
      <w:r>
        <w:rPr>
          <w:rFonts w:ascii="Times New Roman" w:hAnsi="Times New Roman"/>
          <w:i/>
          <w:lang w:val="en-US"/>
        </w:rPr>
        <w:t>Sellosaurus</w:t>
      </w:r>
      <w:r>
        <w:rPr>
          <w:rFonts w:ascii="Times New Roman" w:hAnsi="Times New Roman"/>
          <w:lang w:val="en-US"/>
        </w:rPr>
        <w:t xml:space="preserve"> possesses state 0 in juveniles and state 1 in adults and is therefore coded as having a polymorphic condition.</w:t>
      </w:r>
    </w:p>
    <w:p>
      <w:pPr>
        <w:pStyle w:val="Normal"/>
        <w:spacing w:lineRule="auto" w:line="360" w:after="80"/>
        <w:rPr/>
        <w:keepLines w:val="0"/>
        <w:numPr>
          <w:ilvl w:val="0"/>
          <w:numId w:val="1"/>
        </w:numPr>
      </w:pPr>
      <w:r>
        <w:rPr>
          <w:rFonts w:ascii="Times New Roman" w:hAnsi="Times New Roman"/>
          <w:lang w:val="en-US"/>
        </w:rPr>
        <w:t xml:space="preserve">Concave area on the lateral surface of the ilium: extends ventrally to a point close to the acetabular margin (0), restricted to the dorsal half of the blade (1) (Gauffre 1996). Gauffre (1996) gives several prosauropods state 0 instead of ? and gives </w:t>
      </w:r>
      <w:r>
        <w:rPr>
          <w:rFonts w:ascii="Times New Roman" w:hAnsi="Times New Roman"/>
          <w:i/>
          <w:lang w:val="en-US"/>
        </w:rPr>
        <w:t>Plateosaurus</w:t>
      </w:r>
      <w:r>
        <w:rPr>
          <w:rFonts w:ascii="Times New Roman" w:hAnsi="Times New Roman"/>
          <w:lang w:val="en-US"/>
        </w:rPr>
        <w:t xml:space="preserve"> the plesiomorphic state, although Huene (1926a) clearly shows the derived condition.</w:t>
      </w:r>
    </w:p>
    <w:p>
      <w:pPr>
        <w:pStyle w:val="Normal"/>
        <w:spacing w:lineRule="auto" w:line="360" w:after="80"/>
        <w:rPr/>
        <w:keepLines w:val="0"/>
        <w:numPr>
          <w:ilvl w:val="0"/>
          <w:numId w:val="1"/>
        </w:numPr>
      </w:pPr>
      <w:r>
        <w:rPr>
          <w:rFonts w:ascii="Times New Roman" w:hAnsi="Times New Roman"/>
          <w:lang w:val="en-US"/>
        </w:rPr>
        <w:t xml:space="preserve">Dorsal margin of ilium in lateral view: smoothly convex, mildly or strongly (0), has a steplike sigmoid profile (1) (Gauffre 1996; Heerden and Galton 1997). Gauffre (1996) gives the derived state to other prosauropods, e.g., </w:t>
      </w:r>
      <w:r>
        <w:rPr>
          <w:rFonts w:ascii="Times New Roman" w:hAnsi="Times New Roman"/>
          <w:i/>
          <w:lang w:val="en-US"/>
        </w:rPr>
        <w:t>Massospondylus.</w:t>
      </w:r>
      <w:r>
        <w:rPr>
          <w:rFonts w:ascii="Times New Roman" w:hAnsi="Times New Roman"/>
          <w:lang w:val="en-US"/>
        </w:rPr>
        <w:t xml:space="preserve"> There may be two derived states, irregularity and stepped. Heerden and Galton (1997) cite the stepped margin as a character for Melanorosauridae.</w:t>
      </w:r>
    </w:p>
    <w:p>
      <w:pPr>
        <w:pStyle w:val="Normal"/>
        <w:spacing w:lineRule="auto" w:line="360" w:after="80"/>
        <w:rPr/>
        <w:keepLines w:val="0"/>
        <w:numPr>
          <w:ilvl w:val="0"/>
          <w:numId w:val="1"/>
        </w:numPr>
      </w:pPr>
      <w:r>
        <w:rPr>
          <w:rFonts w:ascii="Times New Roman" w:hAnsi="Times New Roman"/>
          <w:lang w:val="en-US"/>
        </w:rPr>
        <w:t>Lateral profile of the dorsal margin of the ilium: straight or sinusoidal (0), strongly convex (1) (Gauthier 1986).</w:t>
      </w:r>
    </w:p>
    <w:p>
      <w:pPr>
        <w:pStyle w:val="Normal"/>
        <w:spacing w:lineRule="auto" w:line="360" w:after="80"/>
        <w:rPr/>
        <w:keepLines w:val="0"/>
        <w:numPr>
          <w:ilvl w:val="0"/>
          <w:numId w:val="1"/>
        </w:numPr>
      </w:pPr>
      <w:r>
        <w:rPr>
          <w:rFonts w:ascii="Times New Roman" w:hAnsi="Times New Roman"/>
          <w:lang w:val="en-US"/>
        </w:rPr>
        <w:t>Ischial peduncle of the ilium: subequal in length to the pubic peduncle, giving the long axis of the iliac blade a nearly horizontal orientation (0), reduced, so that the long axis of the iliac blade slopes strongly craniodorsally in lateral view (1) (Salgado et al. 1997a, modified).</w:t>
      </w:r>
    </w:p>
    <w:p>
      <w:pPr>
        <w:pStyle w:val="Normal"/>
        <w:spacing w:lineRule="auto" w:line="360" w:after="80"/>
        <w:rPr/>
        <w:keepLines w:val="0"/>
        <w:numPr>
          <w:ilvl w:val="0"/>
          <w:numId w:val="1"/>
        </w:numPr>
      </w:pPr>
      <w:r>
        <w:rPr>
          <w:rFonts w:ascii="Times New Roman" w:hAnsi="Times New Roman"/>
          <w:lang w:val="en-US"/>
        </w:rPr>
        <w:t>Pubic acetabular margin: approximately subequal in length to the ischial acetabular margin (0), approximately half the length of the ischial margin (1).</w:t>
      </w:r>
    </w:p>
    <w:p>
      <w:pPr>
        <w:pStyle w:val="Normal"/>
        <w:spacing w:lineRule="auto" w:line="360" w:after="80"/>
        <w:rPr/>
        <w:keepLines w:val="0"/>
        <w:numPr>
          <w:ilvl w:val="0"/>
          <w:numId w:val="1"/>
        </w:numPr>
      </w:pPr>
      <w:r>
        <w:rPr>
          <w:rFonts w:ascii="Times New Roman" w:hAnsi="Times New Roman"/>
          <w:lang w:val="en-US"/>
        </w:rPr>
        <w:t>Pubis in cranial view: lateral margin of the apron straight or bows laterally (0), has a concave profile (1) (Gauffre 1996, modified).</w:t>
      </w:r>
    </w:p>
    <w:p>
      <w:pPr>
        <w:pStyle w:val="Normal"/>
        <w:spacing w:lineRule="auto" w:line="360" w:after="80"/>
        <w:rPr/>
        <w:keepLines w:val="0"/>
        <w:numPr>
          <w:ilvl w:val="0"/>
          <w:numId w:val="1"/>
        </w:numPr>
      </w:pPr>
      <w:r>
        <w:rPr>
          <w:rFonts w:ascii="Times New Roman" w:hAnsi="Times New Roman"/>
          <w:lang w:val="en-US"/>
        </w:rPr>
        <w:t>Ratio of ischium length to pubis length: less than 0.90 (0), 0.90 or more (1) (Yu 1990, modified; Calvo and Salgado 1995, modified).</w:t>
      </w:r>
    </w:p>
    <w:p>
      <w:pPr>
        <w:pStyle w:val="Normal"/>
        <w:spacing w:lineRule="auto" w:line="360" w:after="80"/>
        <w:rPr/>
        <w:keepLines w:val="0"/>
        <w:numPr>
          <w:ilvl w:val="0"/>
          <w:numId w:val="1"/>
        </w:numPr>
      </w:pPr>
      <w:r>
        <w:rPr>
          <w:rFonts w:ascii="Times New Roman" w:hAnsi="Times New Roman"/>
          <w:lang w:val="en-US"/>
        </w:rPr>
        <w:t>Pubic obturator foramen: absent or small (0), large, at least 50% of acetabulum diameter (1) (Gauffre 1996, modified; Benton and Storrs in Benton et al. 2000a).</w:t>
      </w:r>
    </w:p>
    <w:p>
      <w:pPr>
        <w:pStyle w:val="Normal"/>
        <w:spacing w:lineRule="auto" w:line="360" w:after="80"/>
        <w:rPr/>
        <w:keepLines w:val="0"/>
        <w:numPr>
          <w:ilvl w:val="0"/>
          <w:numId w:val="1"/>
        </w:numPr>
      </w:pPr>
      <w:r>
        <w:rPr>
          <w:rFonts w:ascii="Times New Roman" w:hAnsi="Times New Roman"/>
          <w:lang w:val="en-US"/>
        </w:rPr>
        <w:t>Pubic foramen in cranial view of the pubis: partially obscured (0), completely visible (1) (Gauffre 1996).</w:t>
      </w:r>
    </w:p>
    <w:p>
      <w:pPr>
        <w:pStyle w:val="Normal"/>
        <w:spacing w:lineRule="auto" w:line="360" w:after="80"/>
        <w:rPr/>
        <w:keepLines w:val="0"/>
        <w:numPr>
          <w:ilvl w:val="0"/>
          <w:numId w:val="1"/>
        </w:numPr>
      </w:pPr>
      <w:r>
        <w:rPr>
          <w:rFonts w:ascii="Times New Roman" w:hAnsi="Times New Roman"/>
          <w:lang w:val="en-US"/>
        </w:rPr>
        <w:t>Middle and distal portions of the pubis: form a transverse sheet of bone that is twisted with respect to the proximal end (0), lie in approximately the same plane as the proximal end (1) (Cooper 1984; Upchurch 1995, modified).</w:t>
      </w:r>
    </w:p>
    <w:p>
      <w:pPr>
        <w:pStyle w:val="Normal"/>
        <w:spacing w:lineRule="auto" w:line="360" w:after="80"/>
        <w:rPr/>
        <w:keepLines w:val="0"/>
        <w:numPr>
          <w:ilvl w:val="0"/>
          <w:numId w:val="1"/>
        </w:numPr>
      </w:pPr>
      <w:r>
        <w:rPr>
          <w:rFonts w:ascii="Times New Roman" w:hAnsi="Times New Roman"/>
          <w:lang w:val="en-US"/>
        </w:rPr>
        <w:t>Distal end of the ischium: only slightly expanded relative to the rest of the shaft (0), strongly expanded dorsoventrally, so that the thickness of the shaft appears to have doubled at the distal end in lateral view (1) (Berman and McIntosh 1978, modified; McIntosh 1990a, modified; Upchurch 1995, 1998, modified).</w:t>
      </w:r>
    </w:p>
    <w:p>
      <w:pPr>
        <w:pStyle w:val="Normal"/>
        <w:spacing w:lineRule="auto" w:line="360" w:after="80"/>
        <w:rPr/>
        <w:keepLines w:val="0"/>
        <w:numPr>
          <w:ilvl w:val="0"/>
          <w:numId w:val="1"/>
        </w:numPr>
      </w:pPr>
      <w:r>
        <w:rPr>
          <w:rFonts w:ascii="Times New Roman" w:hAnsi="Times New Roman"/>
          <w:lang w:val="en-US"/>
        </w:rPr>
        <w:t>Maximum thickness of distal end of the ischium: less than three times the minimum thickness (0), at least three times the minimum thickness (1) (Wilson and Sereno 1998).</w:t>
      </w:r>
    </w:p>
    <w:p>
      <w:pPr>
        <w:pStyle w:val="Normal"/>
        <w:spacing w:lineRule="auto" w:line="360" w:after="80"/>
        <w:rPr/>
        <w:keepLines w:val="0"/>
        <w:numPr>
          <w:ilvl w:val="0"/>
          <w:numId w:val="1"/>
        </w:numPr>
      </w:pPr>
      <w:r>
        <w:rPr>
          <w:rFonts w:ascii="Times New Roman" w:hAnsi="Times New Roman"/>
          <w:lang w:val="en-US"/>
        </w:rPr>
        <w:t>Distal end of the ischium, outline in end view: rounded or flattened (0), subtriangular (1) (Sereno 1989; Wilson and Sereno 1998).</w:t>
      </w:r>
    </w:p>
    <w:p>
      <w:pPr>
        <w:pStyle w:val="Normal"/>
        <w:spacing w:lineRule="auto" w:line="360" w:after="80"/>
        <w:rPr/>
        <w:keepLines w:val="0"/>
        <w:numPr>
          <w:ilvl w:val="0"/>
          <w:numId w:val="1"/>
        </w:numPr>
      </w:pPr>
      <w:r>
        <w:rPr>
          <w:rFonts w:ascii="Times New Roman" w:hAnsi="Times New Roman"/>
          <w:lang w:val="en-US"/>
        </w:rPr>
        <w:t>Proximal end of the cranial trochanter: terminates below the femoral head (0), terminates level with the femoral head (1) (Gauffre 1996, modified).</w:t>
      </w:r>
    </w:p>
    <w:p>
      <w:pPr>
        <w:pStyle w:val="Normal"/>
        <w:spacing w:lineRule="auto" w:line="360" w:after="80"/>
        <w:rPr/>
        <w:keepLines w:val="0"/>
        <w:numPr>
          <w:ilvl w:val="0"/>
          <w:numId w:val="1"/>
        </w:numPr>
      </w:pPr>
      <w:r>
        <w:rPr>
          <w:rFonts w:ascii="Times New Roman" w:hAnsi="Times New Roman"/>
          <w:lang w:val="en-US"/>
        </w:rPr>
        <w:t>Cranial trochanter: all of the lateral edge lies medial to the lateral edge of femur (0), projects beyond the lateral edge of the femur, so that it is visible in caudal view (1) (Heerden and Galton 1997).</w:t>
      </w:r>
    </w:p>
    <w:p>
      <w:pPr>
        <w:pStyle w:val="Normal"/>
        <w:spacing w:lineRule="auto" w:line="360" w:after="80"/>
        <w:rPr/>
        <w:keepLines w:val="0"/>
        <w:numPr>
          <w:ilvl w:val="0"/>
          <w:numId w:val="1"/>
        </w:numPr>
      </w:pPr>
      <w:r>
        <w:rPr>
          <w:rFonts w:ascii="Times New Roman" w:hAnsi="Times New Roman"/>
          <w:lang w:val="en-US"/>
        </w:rPr>
        <w:t>Cranial trochanter on the femur: well developed (0), absent or greatly reduced (1) (McIntosh 1990a; Gauffre 1996).</w:t>
      </w:r>
    </w:p>
    <w:p>
      <w:pPr>
        <w:pStyle w:val="Normal"/>
        <w:spacing w:lineRule="auto" w:line="360" w:after="80"/>
        <w:rPr/>
        <w:keepLines w:val="0"/>
        <w:numPr>
          <w:ilvl w:val="0"/>
          <w:numId w:val="1"/>
        </w:numPr>
      </w:pPr>
      <w:r>
        <w:rPr>
          <w:rFonts w:ascii="Times New Roman" w:hAnsi="Times New Roman"/>
          <w:lang w:val="en-US"/>
        </w:rPr>
        <w:t>Cranial trochanter: well developed or reduced to a still visible ridge (0), completely absent (1).</w:t>
      </w:r>
    </w:p>
    <w:p>
      <w:pPr>
        <w:pStyle w:val="Normal"/>
        <w:spacing w:lineRule="auto" w:line="360" w:after="80"/>
        <w:rPr/>
        <w:keepLines w:val="0"/>
        <w:numPr>
          <w:ilvl w:val="0"/>
          <w:numId w:val="1"/>
        </w:numPr>
      </w:pPr>
      <w:r>
        <w:rPr>
          <w:rFonts w:ascii="Times New Roman" w:hAnsi="Times New Roman"/>
          <w:lang w:val="en-US"/>
        </w:rPr>
        <w:t xml:space="preserve">Cranial trochanter: a ridgelike structure or reduced (0), a prominent sheetlike structure (1) (Galton 1990a). Benton and Storrs (in Benton et al. 2000b) also give the derived state to </w:t>
      </w:r>
      <w:r>
        <w:rPr>
          <w:rFonts w:ascii="Times New Roman" w:hAnsi="Times New Roman"/>
          <w:i/>
          <w:lang w:val="en-US"/>
        </w:rPr>
        <w:t>Anchisaurus</w:t>
      </w:r>
      <w:r>
        <w:rPr>
          <w:rFonts w:ascii="Times New Roman" w:hAnsi="Times New Roman"/>
          <w:lang w:val="en-US"/>
        </w:rPr>
        <w:t xml:space="preserve"> and </w:t>
      </w:r>
      <w:r>
        <w:rPr>
          <w:rFonts w:ascii="Times New Roman" w:hAnsi="Times New Roman"/>
          <w:i/>
          <w:lang w:val="en-US"/>
        </w:rPr>
        <w:t>Massospondylus.</w:t>
      </w:r>
    </w:p>
    <w:p>
      <w:pPr>
        <w:pStyle w:val="Normal"/>
        <w:spacing w:lineRule="auto" w:line="360" w:after="80"/>
        <w:rPr/>
        <w:keepLines w:val="0"/>
        <w:numPr>
          <w:ilvl w:val="0"/>
          <w:numId w:val="1"/>
        </w:numPr>
      </w:pPr>
      <w:r>
        <w:rPr>
          <w:rFonts w:ascii="Times New Roman" w:hAnsi="Times New Roman"/>
          <w:lang w:val="en-US"/>
        </w:rPr>
        <w:t>Fourth trochanter: a prominent platelike structure (0), reduced to a low ridge (1).</w:t>
      </w:r>
    </w:p>
    <w:p>
      <w:pPr>
        <w:pStyle w:val="Normal"/>
        <w:spacing w:lineRule="auto" w:line="360" w:after="80"/>
        <w:rPr/>
        <w:keepLines w:val="0"/>
        <w:numPr>
          <w:ilvl w:val="0"/>
          <w:numId w:val="1"/>
        </w:numPr>
      </w:pPr>
      <w:r>
        <w:rPr>
          <w:rFonts w:ascii="Times New Roman" w:hAnsi="Times New Roman"/>
          <w:lang w:val="en-US"/>
        </w:rPr>
        <w:t>Femoral head: projects medially or ventromedially (0), projects dorsomedially (1).</w:t>
      </w:r>
    </w:p>
    <w:p>
      <w:pPr>
        <w:pStyle w:val="Normal"/>
        <w:spacing w:lineRule="auto" w:line="360" w:after="80"/>
        <w:rPr/>
        <w:keepLines w:val="0"/>
        <w:numPr>
          <w:ilvl w:val="0"/>
          <w:numId w:val="1"/>
        </w:numPr>
      </w:pPr>
      <w:r>
        <w:rPr>
          <w:rFonts w:ascii="Times New Roman" w:hAnsi="Times New Roman"/>
          <w:lang w:val="en-US"/>
        </w:rPr>
        <w:t>Proximal end of the femur in cranial or caudal view: merges smoothly with the lateral margin of the shaft (0), meets the lateral margin at an abrupt angle, 90° (1) (Heerden and Galton 1997, modified].</w:t>
      </w:r>
    </w:p>
    <w:p>
      <w:pPr>
        <w:pStyle w:val="Normal"/>
        <w:spacing w:lineRule="auto" w:line="360" w:after="80"/>
        <w:rPr/>
        <w:keepLines w:val="0"/>
        <w:numPr>
          <w:ilvl w:val="0"/>
          <w:numId w:val="1"/>
        </w:numPr>
      </w:pPr>
      <w:r>
        <w:rPr>
          <w:rFonts w:ascii="Times New Roman" w:hAnsi="Times New Roman"/>
          <w:lang w:val="en-US"/>
        </w:rPr>
        <w:t>Femoral shaft: has a sigmoid curve (0), is straight in cranial or caudal view (1) (Galton 1985d; Gauthier 1986). Gauffre (1996) treats the sigmoid shaft as the derived state.</w:t>
      </w:r>
    </w:p>
    <w:p>
      <w:pPr>
        <w:pStyle w:val="Normal"/>
        <w:spacing w:lineRule="auto" w:line="360" w:after="80"/>
        <w:rPr/>
        <w:keepLines w:val="0"/>
        <w:numPr>
          <w:ilvl w:val="0"/>
          <w:numId w:val="1"/>
        </w:numPr>
      </w:pPr>
      <w:r>
        <w:rPr>
          <w:rFonts w:ascii="Times New Roman" w:hAnsi="Times New Roman"/>
          <w:lang w:val="en-US"/>
        </w:rPr>
        <w:t>Cranial face of the femur in lateral view: convex (0), straight (1) (Gauffre 1996, modified).</w:t>
      </w:r>
    </w:p>
    <w:p>
      <w:pPr>
        <w:pStyle w:val="Normal"/>
        <w:spacing w:lineRule="auto" w:line="360" w:after="80"/>
        <w:rPr/>
        <w:keepLines w:val="0"/>
        <w:numPr>
          <w:ilvl w:val="0"/>
          <w:numId w:val="1"/>
        </w:numPr>
      </w:pPr>
      <w:r>
        <w:rPr>
          <w:rFonts w:ascii="Times New Roman" w:hAnsi="Times New Roman"/>
          <w:lang w:val="en-US"/>
        </w:rPr>
        <w:t xml:space="preserve">Distal end of the fourth trochanter: lies above the midshaft length (0), lies at or below the midshaft length (1) (Galton 1990a). Benton and Storrs (in Benton et al. 2000b) use a different distribution in which sauropods are given the primitive state and only </w:t>
      </w:r>
      <w:r>
        <w:rPr>
          <w:rFonts w:ascii="Times New Roman" w:hAnsi="Times New Roman"/>
          <w:i/>
          <w:lang w:val="en-US"/>
        </w:rPr>
        <w:t>Anchisaurus, Massospondylus, Melanorosaurus,</w:t>
      </w:r>
      <w:r>
        <w:rPr>
          <w:rFonts w:ascii="Times New Roman" w:hAnsi="Times New Roman"/>
          <w:lang w:val="en-US"/>
        </w:rPr>
        <w:t xml:space="preserve"> and </w:t>
      </w:r>
      <w:r>
        <w:rPr>
          <w:rFonts w:ascii="Times New Roman" w:hAnsi="Times New Roman"/>
          <w:i/>
          <w:lang w:val="en-US"/>
        </w:rPr>
        <w:t>Riojasaurus</w:t>
      </w:r>
      <w:r>
        <w:rPr>
          <w:rFonts w:ascii="Times New Roman" w:hAnsi="Times New Roman"/>
          <w:lang w:val="en-US"/>
        </w:rPr>
        <w:t xml:space="preserve"> are given the derived state. The fourth trochanter tends to be more proximally located in smaller, more juvenile animals.</w:t>
      </w:r>
    </w:p>
    <w:p>
      <w:pPr>
        <w:pStyle w:val="Normal"/>
        <w:spacing w:lineRule="auto" w:line="360" w:after="80"/>
        <w:rPr/>
        <w:keepLines w:val="0"/>
        <w:numPr>
          <w:ilvl w:val="0"/>
          <w:numId w:val="1"/>
        </w:numPr>
      </w:pPr>
      <w:r>
        <w:rPr>
          <w:rFonts w:ascii="Times New Roman" w:hAnsi="Times New Roman"/>
          <w:lang w:val="en-US"/>
        </w:rPr>
        <w:t xml:space="preserve">Fourth trochanter on the femur: lies close to the midline of the caudal surface of the shaft (0), lies close to the caudomedial margin of the shaft (1) (Galton 1985d, 1990a; Gauffre 1993c, 1996). </w:t>
      </w:r>
      <w:r>
        <w:rPr>
          <w:rFonts w:ascii="Times New Roman" w:hAnsi="Times New Roman"/>
          <w:i/>
          <w:lang w:val="en-US"/>
        </w:rPr>
        <w:t>Herrerasaurus</w:t>
      </w:r>
      <w:r>
        <w:rPr>
          <w:rFonts w:ascii="Times New Roman" w:hAnsi="Times New Roman"/>
          <w:lang w:val="en-US"/>
        </w:rPr>
        <w:t xml:space="preserve"> appears to have the derived state.</w:t>
      </w:r>
    </w:p>
    <w:p>
      <w:pPr>
        <w:pStyle w:val="Normal"/>
        <w:spacing w:lineRule="auto" w:line="360" w:after="80"/>
        <w:rPr/>
        <w:keepLines w:val="0"/>
        <w:numPr>
          <w:ilvl w:val="0"/>
          <w:numId w:val="1"/>
        </w:numPr>
      </w:pPr>
      <w:r>
        <w:rPr>
          <w:rFonts w:ascii="Times New Roman" w:hAnsi="Times New Roman"/>
          <w:lang w:val="en-US"/>
        </w:rPr>
        <w:t>Horizontal cross section through the femoral shaft: subcircular (0), elliptical or subrectangular with the transverse diameter wider than the craniocaudal diameter (1) (Gauffre 1993c, 1996).</w:t>
      </w:r>
    </w:p>
    <w:p>
      <w:pPr>
        <w:pStyle w:val="Normal"/>
        <w:spacing w:lineRule="auto" w:line="360" w:after="80"/>
        <w:rPr/>
        <w:keepLines w:val="0"/>
        <w:numPr>
          <w:ilvl w:val="0"/>
          <w:numId w:val="1"/>
        </w:numPr>
      </w:pPr>
      <w:r>
        <w:rPr>
          <w:rFonts w:ascii="Times New Roman" w:hAnsi="Times New Roman"/>
          <w:lang w:val="en-US"/>
        </w:rPr>
        <w:t xml:space="preserve">Ratio of tibia length to femur length: 0.70 or higher (0), less than 0.65 (1) (McIntosh 1990a). </w:t>
      </w:r>
    </w:p>
    <w:p>
      <w:pPr>
        <w:pStyle w:val="Normal"/>
        <w:spacing w:lineRule="auto" w:line="360" w:after="80"/>
        <w:rPr/>
        <w:keepLines w:val="0"/>
        <w:numPr>
          <w:ilvl w:val="0"/>
          <w:numId w:val="1"/>
        </w:numPr>
      </w:pPr>
      <w:r>
        <w:rPr>
          <w:rFonts w:ascii="Times New Roman" w:hAnsi="Times New Roman"/>
          <w:lang w:val="en-US"/>
        </w:rPr>
        <w:t>Cnemial crest on the tibia: directed cranially (0), directed laterally (1) (Wilson and Sereno 1998).</w:t>
      </w:r>
    </w:p>
    <w:p>
      <w:pPr>
        <w:pStyle w:val="Normal"/>
        <w:spacing w:lineRule="auto" w:line="360" w:after="80"/>
        <w:rPr/>
        <w:keepLines w:val="0"/>
        <w:numPr>
          <w:ilvl w:val="0"/>
          <w:numId w:val="1"/>
        </w:numPr>
      </w:pPr>
      <w:r>
        <w:rPr>
          <w:rFonts w:ascii="Times New Roman" w:hAnsi="Times New Roman"/>
          <w:lang w:val="en-US"/>
        </w:rPr>
        <w:t>Medial malleolus of the tibia: extends caudoventrally to cover the astragalus in caudal view (0), reduced, exposing the caudal fossa of the astragalus in caudal view (1) (Wilson and Sereno 1998, modified).</w:t>
      </w:r>
    </w:p>
    <w:p>
      <w:pPr>
        <w:pStyle w:val="Normal"/>
        <w:spacing w:lineRule="auto" w:line="360" w:after="80"/>
        <w:rPr/>
        <w:keepLines w:val="0"/>
        <w:numPr>
          <w:ilvl w:val="0"/>
          <w:numId w:val="1"/>
        </w:numPr>
      </w:pPr>
      <w:r>
        <w:rPr>
          <w:rFonts w:ascii="Times New Roman" w:hAnsi="Times New Roman"/>
          <w:lang w:val="en-US"/>
        </w:rPr>
        <w:t xml:space="preserve">Trigonal striated articular crest on the medial surface of the proximal end of the fibula: absent (0), present (1) (Wilson and Sereno 1998, modified). Wilson and Sereno (1998) give </w:t>
      </w:r>
      <w:r>
        <w:rPr>
          <w:rFonts w:ascii="Times New Roman" w:hAnsi="Times New Roman"/>
          <w:i/>
          <w:lang w:val="en-US"/>
        </w:rPr>
        <w:t>Vulcanodon</w:t>
      </w:r>
      <w:r>
        <w:rPr>
          <w:rFonts w:ascii="Times New Roman" w:hAnsi="Times New Roman"/>
          <w:lang w:val="en-US"/>
        </w:rPr>
        <w:t xml:space="preserve"> state 0.</w:t>
      </w:r>
    </w:p>
    <w:p>
      <w:pPr>
        <w:pStyle w:val="Normal"/>
        <w:spacing w:lineRule="auto" w:line="360" w:after="80"/>
        <w:rPr/>
        <w:keepLines w:val="0"/>
        <w:numPr>
          <w:ilvl w:val="0"/>
          <w:numId w:val="1"/>
        </w:numPr>
      </w:pPr>
      <w:r>
        <w:rPr>
          <w:rFonts w:ascii="Times New Roman" w:hAnsi="Times New Roman"/>
          <w:lang w:val="en-US"/>
        </w:rPr>
        <w:t>Muscle scar on the lateral surface of the fibula at midlength: absent (0), present (1) (Wilson and Sereno 1998, modified).</w:t>
      </w:r>
    </w:p>
    <w:p>
      <w:pPr>
        <w:pStyle w:val="Normal"/>
        <w:spacing w:lineRule="auto" w:line="360" w:after="80"/>
        <w:rPr/>
        <w:keepLines w:val="0"/>
        <w:numPr>
          <w:ilvl w:val="0"/>
          <w:numId w:val="1"/>
        </w:numPr>
      </w:pPr>
      <w:r>
        <w:rPr>
          <w:rFonts w:ascii="Times New Roman" w:hAnsi="Times New Roman"/>
          <w:lang w:val="en-US"/>
        </w:rPr>
        <w:t>Ascending process of the astragalus: extends dorsally in front of the distal end of the tibia (0), keys into the distal end surface of the tibia (1) (Charig et al. 1965; Galton 1971a, 1990a; Gauthier 1986; Benton and Storrs in Benton et al. 2000b).</w:t>
      </w:r>
    </w:p>
    <w:p>
      <w:pPr>
        <w:pStyle w:val="Normal"/>
        <w:spacing w:lineRule="auto" w:line="360" w:after="80"/>
        <w:rPr/>
        <w:keepLines w:val="0"/>
        <w:numPr>
          <w:ilvl w:val="0"/>
          <w:numId w:val="1"/>
        </w:numPr>
      </w:pPr>
      <w:r>
        <w:rPr>
          <w:rFonts w:ascii="Times New Roman" w:hAnsi="Times New Roman"/>
          <w:lang w:val="en-US"/>
        </w:rPr>
        <w:t xml:space="preserve">Depression and vascular foramina in front of the base of the astragalar ascending process: present (0), absent (1) (Wilson and Sereno 1998). Wilson and Sereno (1998) give </w:t>
      </w:r>
      <w:r>
        <w:rPr>
          <w:rFonts w:ascii="Times New Roman" w:hAnsi="Times New Roman"/>
          <w:i/>
          <w:lang w:val="en-US"/>
        </w:rPr>
        <w:t>Vulcanodon</w:t>
      </w:r>
      <w:r>
        <w:rPr>
          <w:rFonts w:ascii="Times New Roman" w:hAnsi="Times New Roman"/>
          <w:lang w:val="en-US"/>
        </w:rPr>
        <w:t xml:space="preserve"> the derived state.</w:t>
      </w:r>
    </w:p>
    <w:p>
      <w:pPr>
        <w:pStyle w:val="Normal"/>
        <w:spacing w:lineRule="auto" w:line="360" w:after="80"/>
        <w:rPr/>
        <w:keepLines w:val="0"/>
        <w:numPr>
          <w:ilvl w:val="0"/>
          <w:numId w:val="1"/>
        </w:numPr>
      </w:pPr>
      <w:r>
        <w:rPr>
          <w:rFonts w:ascii="Times New Roman" w:hAnsi="Times New Roman"/>
          <w:lang w:val="en-US"/>
        </w:rPr>
        <w:t xml:space="preserve">Caudal fossa of the astragalus: undivided (0), divided into lateral and medial portions by the presence of a ridge or crest that descends ventromedially from the apex of the ascending process (1) (Wilson and Sereno 1998, modified). In basal sauropods like </w:t>
      </w:r>
      <w:r>
        <w:rPr>
          <w:rFonts w:ascii="Times New Roman" w:hAnsi="Times New Roman"/>
          <w:i/>
          <w:lang w:val="en-US"/>
        </w:rPr>
        <w:t>Kotasaurus</w:t>
      </w:r>
      <w:r>
        <w:rPr>
          <w:rFonts w:ascii="Times New Roman" w:hAnsi="Times New Roman"/>
          <w:lang w:val="en-US"/>
        </w:rPr>
        <w:t xml:space="preserve"> and </w:t>
      </w:r>
      <w:r>
        <w:rPr>
          <w:rFonts w:ascii="Times New Roman" w:hAnsi="Times New Roman"/>
          <w:i/>
          <w:lang w:val="en-US"/>
        </w:rPr>
        <w:t>Vulcanodon</w:t>
      </w:r>
      <w:r>
        <w:rPr>
          <w:rFonts w:ascii="Times New Roman" w:hAnsi="Times New Roman"/>
          <w:lang w:val="en-US"/>
        </w:rPr>
        <w:t xml:space="preserve"> there is a single ridge, whereas in more advanced forms there are two. Wilson and Sereno (1998) give </w:t>
      </w:r>
      <w:r>
        <w:rPr>
          <w:rFonts w:ascii="Times New Roman" w:hAnsi="Times New Roman"/>
          <w:i/>
          <w:lang w:val="en-US"/>
        </w:rPr>
        <w:t>Vulcanodon</w:t>
      </w:r>
      <w:r>
        <w:rPr>
          <w:rFonts w:ascii="Times New Roman" w:hAnsi="Times New Roman"/>
          <w:lang w:val="en-US"/>
        </w:rPr>
        <w:t xml:space="preserve"> state 0.</w:t>
      </w:r>
    </w:p>
    <w:p>
      <w:pPr>
        <w:pStyle w:val="Normal"/>
        <w:tabs>
          <w:tab w:val="clear" w:pos="720"/>
          <w:tab w:val="left" w:pos="3000" w:leader="none"/>
        </w:tabs>
        <w:spacing w:lineRule="auto" w:line="360" w:after="80"/>
        <w:rPr/>
        <w:keepLines w:val="0"/>
        <w:numPr>
          <w:ilvl w:val="0"/>
          <w:numId w:val="1"/>
        </w:numPr>
      </w:pPr>
      <w:r>
        <w:rPr>
          <w:rFonts w:ascii="Times New Roman" w:hAnsi="Times New Roman"/>
          <w:lang w:val="en-US"/>
        </w:rPr>
        <w:t xml:space="preserve">Number of ossified distal tarsals: 2 or more (0), none (1) (Gauthier 1986). Benton and Storrs (in Benton et al. 2000b) give most prosauropods except </w:t>
      </w:r>
      <w:r>
        <w:rPr>
          <w:rFonts w:ascii="Times New Roman" w:hAnsi="Times New Roman"/>
          <w:i/>
          <w:lang w:val="en-US"/>
        </w:rPr>
        <w:t>Riojasaurus</w:t>
      </w:r>
      <w:r>
        <w:rPr>
          <w:rFonts w:ascii="Times New Roman" w:hAnsi="Times New Roman"/>
          <w:lang w:val="en-US"/>
        </w:rPr>
        <w:t xml:space="preserve"> the derived state.</w:t>
      </w:r>
    </w:p>
    <w:p>
      <w:pPr>
        <w:pStyle w:val="Normal"/>
        <w:spacing w:lineRule="auto" w:line="360" w:after="80"/>
        <w:rPr/>
        <w:keepLines w:val="0"/>
        <w:numPr>
          <w:ilvl w:val="0"/>
          <w:numId w:val="1"/>
        </w:numPr>
      </w:pPr>
      <w:r>
        <w:rPr>
          <w:rFonts w:ascii="Times New Roman" w:hAnsi="Times New Roman"/>
          <w:lang w:val="en-US"/>
        </w:rPr>
        <w:t>Ratio of length of metatarsal III  to tibia length: 0.4 or higher (0), less than 0.4 (1) (McIntosh 1990a; Wilson and Sereno 1998).</w:t>
      </w:r>
    </w:p>
    <w:p>
      <w:pPr>
        <w:pStyle w:val="Normal"/>
        <w:spacing w:lineRule="auto" w:line="360" w:after="80"/>
        <w:rPr/>
        <w:keepLines w:val="0"/>
        <w:numPr>
          <w:ilvl w:val="0"/>
          <w:numId w:val="1"/>
        </w:numPr>
      </w:pPr>
      <w:r>
        <w:rPr>
          <w:rFonts w:ascii="Times New Roman" w:hAnsi="Times New Roman"/>
          <w:lang w:val="en-US"/>
        </w:rPr>
        <w:t>Ratio of length of metatarsal I to its width: greater than 1.5 (0), less than 1.5 (1).</w:t>
      </w:r>
    </w:p>
    <w:p>
      <w:pPr>
        <w:pStyle w:val="Normal"/>
        <w:spacing w:lineRule="auto" w:line="360" w:after="80"/>
        <w:rPr/>
        <w:keepLines w:val="0"/>
        <w:numPr>
          <w:ilvl w:val="0"/>
          <w:numId w:val="1"/>
        </w:numPr>
      </w:pPr>
      <w:r>
        <w:rPr>
          <w:rFonts w:ascii="Times New Roman" w:hAnsi="Times New Roman"/>
          <w:lang w:val="en-US"/>
        </w:rPr>
        <w:t>Proximal ends of metatarsals I and V: smaller in area than those of metatarsals II and IV (0), having areas equal to or larger than those of metatarsals II and IV (1) (Wilson and Sereno 1998).</w:t>
      </w:r>
    </w:p>
    <w:p>
      <w:pPr>
        <w:pStyle w:val="Normal"/>
        <w:spacing w:lineRule="auto" w:line="360" w:after="80"/>
        <w:rPr/>
        <w:keepLines w:val="0"/>
        <w:numPr>
          <w:ilvl w:val="0"/>
          <w:numId w:val="1"/>
        </w:numPr>
      </w:pPr>
      <w:r>
        <w:rPr>
          <w:rFonts w:ascii="Times New Roman" w:hAnsi="Times New Roman"/>
          <w:lang w:val="en-US"/>
        </w:rPr>
        <w:t>Proximal end of metatarsal II: subtriangular or subquadrangular in shape (0), hourglass-shaped (1) (Sereno 1999a). The condition in sauropods is hourglass-shaped, so more detailed comparisons with prosauropods are needed.</w:t>
      </w:r>
    </w:p>
    <w:p>
      <w:pPr>
        <w:pStyle w:val="Normal"/>
        <w:spacing w:lineRule="auto" w:line="360" w:after="80"/>
        <w:rPr/>
        <w:keepLines w:val="0"/>
        <w:numPr>
          <w:ilvl w:val="0"/>
          <w:numId w:val="1"/>
        </w:numPr>
      </w:pPr>
      <w:r>
        <w:rPr>
          <w:rFonts w:ascii="Times New Roman" w:hAnsi="Times New Roman"/>
          <w:lang w:val="en-US"/>
        </w:rPr>
        <w:t xml:space="preserve">Ratios of width to length for metatarsals II and III: less than 0.25 (0), 0.25 or higher (1) (Benton and Storrs in Benton et al. 2000b, modified). </w:t>
      </w:r>
      <w:r>
        <w:rPr>
          <w:rFonts w:ascii="Times New Roman" w:hAnsi="Times New Roman"/>
          <w:i/>
          <w:lang w:val="en-US"/>
        </w:rPr>
        <w:t>Sellosaurus</w:t>
      </w:r>
      <w:r>
        <w:rPr>
          <w:rFonts w:ascii="Times New Roman" w:hAnsi="Times New Roman"/>
          <w:lang w:val="en-US"/>
        </w:rPr>
        <w:t xml:space="preserve"> has the primitive state in juveniles and the derived state in adults. Benton and Storrs (in Benton et al. 2000b) have a radically different distribution that, combined with the adjacent column in the data matrix, hints that characters 48 and 49 may have been switched by mistake.</w:t>
      </w:r>
    </w:p>
    <w:p>
      <w:pPr>
        <w:pStyle w:val="Normal"/>
        <w:spacing w:lineRule="auto" w:line="360" w:after="80"/>
        <w:rPr/>
        <w:keepLines w:val="0"/>
        <w:numPr>
          <w:ilvl w:val="0"/>
          <w:numId w:val="1"/>
        </w:numPr>
      </w:pPr>
      <w:r>
        <w:rPr>
          <w:rFonts w:ascii="Times New Roman" w:hAnsi="Times New Roman"/>
          <w:lang w:val="en-US"/>
        </w:rPr>
        <w:t>Metatarsal IV, ratio of proximal end transverse width to dorsoventral height: ca. 1.0 (0), 3.0 (1) (Sereno 1999a).</w:t>
      </w:r>
    </w:p>
    <w:p>
      <w:pPr>
        <w:pStyle w:val="Normal"/>
        <w:spacing w:lineRule="auto" w:line="360" w:after="80"/>
        <w:rPr/>
        <w:keepLines w:val="0"/>
        <w:numPr>
          <w:ilvl w:val="0"/>
          <w:numId w:val="1"/>
        </w:numPr>
      </w:pPr>
      <w:r>
        <w:rPr>
          <w:rFonts w:ascii="Times New Roman" w:hAnsi="Times New Roman"/>
          <w:lang w:val="en-US"/>
        </w:rPr>
        <w:t>Metatarsal V in dorsal (cranial) view: proximal and distal ends approximately subequal in width (0), a transversely widened proximal end and a narrowed distal end, so that the metatarsal is funnel- or paddle-shaped (1) (Upchurch 1993; Wilson and Sereno 1998).</w:t>
      </w:r>
    </w:p>
    <w:p>
      <w:pPr>
        <w:pStyle w:val="Normal"/>
        <w:spacing w:lineRule="auto" w:line="360" w:after="80"/>
        <w:rPr/>
        <w:keepLines w:val="0"/>
        <w:numPr>
          <w:ilvl w:val="0"/>
          <w:numId w:val="1"/>
        </w:numPr>
      </w:pPr>
      <w:r>
        <w:rPr>
          <w:rFonts w:ascii="Times New Roman" w:hAnsi="Times New Roman"/>
          <w:lang w:val="en-US"/>
        </w:rPr>
        <w:t>Metatarsal V length: less than 50% of metatarsal III length (0), at least 75% of metatarsal III length (1) (Upchurch 1993; Wilson and Sereno 1998, modified).</w:t>
      </w:r>
    </w:p>
    <w:p>
      <w:pPr>
        <w:pStyle w:val="Normal"/>
        <w:spacing w:lineRule="auto" w:line="360" w:after="80"/>
        <w:rPr/>
        <w:keepLines w:val="0"/>
        <w:numPr>
          <w:ilvl w:val="0"/>
          <w:numId w:val="1"/>
        </w:numPr>
      </w:pPr>
      <w:r>
        <w:rPr>
          <w:rFonts w:ascii="Times New Roman" w:hAnsi="Times New Roman"/>
          <w:lang w:val="en-US"/>
        </w:rPr>
        <w:t>At least some pedal phalanges, apart from unguals: longer proximodistally than their transverse widths (0), wider transversely than their proximodistal lengths (1) (Wilson and Sereno 1998, modified).</w:t>
      </w:r>
    </w:p>
    <w:p>
      <w:pPr>
        <w:pStyle w:val="Normal"/>
        <w:spacing w:lineRule="auto" w:line="360" w:after="80"/>
        <w:rPr/>
        <w:keepLines w:val="0"/>
        <w:numPr>
          <w:ilvl w:val="0"/>
          <w:numId w:val="1"/>
        </w:numPr>
      </w:pPr>
      <w:r>
        <w:rPr>
          <w:rFonts w:ascii="Times New Roman" w:hAnsi="Times New Roman"/>
          <w:lang w:val="en-US"/>
        </w:rPr>
        <w:t>Ungual on pedal digit I: shorter than other pedal unguals (0), longer than other pedal unguals (1) (Galton 1971a, 1976b, 1990a; Wilson and Sereno 1998).</w:t>
      </w:r>
    </w:p>
    <w:p>
      <w:pPr>
        <w:pStyle w:val="Normal"/>
        <w:spacing w:lineRule="auto" w:line="360" w:after="80"/>
        <w:rPr/>
        <w:keepLines w:val="0"/>
        <w:numPr>
          <w:ilvl w:val="0"/>
          <w:numId w:val="1"/>
        </w:numPr>
      </w:pPr>
      <w:r>
        <w:rPr>
          <w:rFonts w:ascii="Times New Roman" w:hAnsi="Times New Roman"/>
          <w:lang w:val="en-US"/>
        </w:rPr>
        <w:t>Ungual on pedal digit I: shorter than other pedal phalanges (0), subequal to or longer than all other pedal phalanges (1) (Benton and Storrs in Benton et al. 2000b). Benton and Storrs (in Benton et al. 2000b) give the derived state to all sauropodomorphs. This discrepancy may reflect the fact that the states may need better delimitation because many prosauropods have a first digit ungual that is larger than some phalanges and smaller than others. Wilson and Sereno (1998) also use an enlarged ungual on pedal digit I as a sauropodomorph synapomorphy.</w:t>
      </w:r>
    </w:p>
    <w:p>
      <w:pPr>
        <w:pStyle w:val="Normal"/>
        <w:spacing w:lineRule="auto" w:line="360" w:after="80"/>
        <w:rPr/>
        <w:keepLines w:val="0"/>
        <w:numPr>
          <w:ilvl w:val="0"/>
          <w:numId w:val="1"/>
        </w:numPr>
      </w:pPr>
      <w:r>
        <w:rPr>
          <w:rFonts w:ascii="Times New Roman" w:hAnsi="Times New Roman"/>
          <w:lang w:val="en-US"/>
        </w:rPr>
        <w:t>Proximal ends of unguals on pedal digits II and III: have subequal transverse and dorsoventral diameters (or are dorsoventrally compressed) (0), transversely compressed (1) (Wilson and Sereno 1998).</w:t>
      </w:r>
    </w:p>
    <w:p>
      <w:pPr>
        <w:pStyle w:val="Normal"/>
        <w:spacing w:lineRule="auto" w:line="360"/>
        <w:rPr/>
      </w:pPr>
      <w:r>
        <w:rPr>
          <w:rFonts w:ascii="Times New Roman" w:hAnsi="Times New Roman"/>
          <w:lang w:val="en-US"/>
        </w:rPr>
      </w:r>
    </w:p>
    <w:p>
      <w:pPr>
        <w:pStyle w:val="Normal"/>
        <w:spacing w:lineRule="auto" w:line="360"/>
        <w:rPr/>
      </w:pPr>
      <w:r>
        <w:rPr>
          <w:rFonts w:ascii="Times New Roman" w:hAnsi="Times New Roman"/>
          <w:lang w:val="en-US"/>
        </w:rPr>
      </w:r>
    </w:p>
    <w:sectPr>
      <w:headerReference w:type="default" r:id="rId5"/>
      <w:footerReference w:type="default" r:id="rId6"/>
      <w:type w:val="nextPage"/>
      <w:pgSz w:w="12240" w:h="15840"/>
      <w:pgMar w:left="1440" w:right="1440" w:gutter="0" w:header="504" w:top="1440" w:footer="504"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
    <w:altName w:val="Times New Roman"/>
    <w:charset w:val="00"/>
    <w:family w:val="auto"/>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lang w:val="en-US"/>
      </w:rPr>
      <w:t xml:space="preserve">Page </w:t>
    </w:r>
    <w:fldSimple w:instr="PAGE">
      <w:r>
        <w:rPr>
          <w:sz w:val="18"/>
        </w:rP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w:abstractNum w:abstractNumId="1">
    <w:multiLevelType w:val="singleLevel"/>
    <w:lvl w:ilvl="0">
      <w:start w:val="1"/>
      <w:numFmt w:val="decimal"/>
      <w:lvlText w:val="%1."/>
      <w:suff w:val="space"/>
      <w:pPr>
        <w:tabs>
          <w:tab w:val="num" w:pos="480"/>
        </w:tabs>
        <w:ind w:left="480" w:hanging="360"/>
      </w:pPr>
    </w:lvl>
  </w:abstractNum>
  <w:num w:numId="1">
    <w:abstractNumId w:val="1"/>
  </w:num>
</w:numbering>
</file>

<file path=word/settings.xml><?xml version="1.0" encoding="utf-8"?>
<w:settings xmlns:w="http://schemas.openxmlformats.org/wordprocessingml/2006/main">
  <w:zoom w:val="bestFit" w:percent="2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en-US" w:bidi="en-US"/>
      </w:rPr>
    </w:rPrDefault>
    <w:pPrDefault>
      <w:pPr>
        <w:suppressAutoHyphens w:val="true"/>
      </w:pPr>
    </w:pPrDefault>
  </w:docDefaults>
  <w:style w:type="paragraph" w:styleId="Normal">
    <w:name w:val="Normal"/>
    <w:qFormat/>
    <w:pPr>
      <w:widowControl/>
      <w:bidi w:val="0"/>
      <w:spacing w:after="100" w:line="259" w:lineRule="auto"/>
    </w:pPr>
    <w:rPr>
      <w:rFonts w:ascii="Times New Roman" w:hAnsi="Times New Roman" w:eastAsia="Times New Roman" w:cs="Times New Roman"/>
      <w:b w:val="0"/>
      <w:color w:val="000000"/>
      <w:sz w:val="22"/>
      <w:szCs w:val="20"/>
      <w:lang w:val="en-US" w:eastAsia="zh-CN" w:bidi="hi-IN"/>
    </w:rPr>
  </w:style>
  <w:style w:type="character" w:styleId="DefaultParagraphFont">
    <w:name w:val="Default Paragraph Font"/>
    <w:qFormat/>
    <w:rPr/>
  </w:style>
  <w:style w:type="character" w:styleId="CommentReference">
    <w:name w:val="Comment Reference"/>
    <w:basedOn w:val="DefaultParagraphFont"/>
    <w:qFormat/>
    <w:rPr>
      <w:sz w:val="16"/>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tabs>
        <w:tab w:val="clear" w:pos="720"/>
        <w:tab w:val="left" w:pos="0" w:leader="none"/>
        <w:tab w:val="left" w:pos="360" w:leader="none"/>
        <w:tab w:val="right" w:pos="75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tLeast" w:line="335" w:before="0" w:after="70"/>
    </w:pPr>
    <w:rPr>
      <w:rFonts w:ascii="Times" w:hAnsi="Times" w:eastAsia="Times" w:cs="Times"/>
      <w:sz w:val="20"/>
      <w:lang w:val="en-GB"/>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CommentText">
    <w:name w:val="Comment Text"/>
    <w:basedOn w:val="Normal"/>
    <w:qFormat/>
    <w:pPr/>
    <w:rPr>
      <w:sz w:val="20"/>
    </w:rPr>
  </w:style>
  <w:style w:type="paragraph" w:customStyle="1" w:styleId="Heading1">
    <w:name w:val="heading 1"/>
    <w:pPr>
      <w:keepNext/>
      <w:spacing w:before="200" w:after="80"/>
    </w:pPr>
    <w:rPr>
      <w:rFonts w:ascii="Times New Roman" w:hAnsi="Times New Roman"/>
      <w:b/>
      <w:color w:val="7A1F1F"/>
      <w:sz w:val="32"/>
    </w:rPr>
  </w:style>
  <w:style w:type="paragraph" w:customStyle="1" w:styleId="Heading2">
    <w:name w:val="heading 2"/>
    <w:pPr>
      <w:keepNext/>
      <w:spacing w:before="160" w:after="60"/>
    </w:pPr>
    <w:rPr>
      <w:rFonts w:ascii="Times New Roman" w:hAnsi="Times New Roman"/>
      <w:b/>
      <w:color w:val="7A1F1F"/>
      <w:sz w:val="28"/>
    </w:rPr>
  </w:style>
  <w:style w:type="paragraph" w:customStyle="1" w:styleId="Heading3">
    <w:name w:val="heading 3"/>
    <w:pPr>
      <w:keepNext/>
      <w:spacing w:before="120" w:after="100"/>
    </w:pPr>
    <w:rPr>
      <w:rFonts w:ascii="Times New Roman" w:hAnsi="Times New Roman"/>
      <w:b/>
      <w:color w:val="7A1F1F"/>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dinosauria.ucpress.edu" TargetMode="External"/><Relationship Id="rId8" Type="http://schemas.openxmlformats.org/officeDocument/2006/relationships/numbering" Target="numbering.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2004-11-23T15:57:00Z</dcterms:created>
  <dc:creator>Dave Weishampel</dc:creator>
  <dc:description>Accessibility-remediated edition with semantic headings, lists, and tables.</dc:description>
  <dc:language>en-US</dc:language>
  <cp:lastModifiedBy>John Connolly</cp:lastModifiedBy>
  <dcterms:modified xsi:type="dcterms:W3CDTF">2004-11-24T15:12:00Z</dcterms:modified>
  <cp:revision>3</cp:revision>
  <dc:subject>Accessible supplement to Dinosauria, second edition</dc:subject>
  <dc:title>Appendix 12.1 — Character Description — Prosauropoda</dc:title>
  <cp:keywords>Dinosauria; paleontology; character descriptions; character-taxon matrix; accessible Word document</cp:keywords>
</cp:coreProperties>
</file>