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after="200"/>
        <w:rPr>
          <w:rFonts w:eastAsia="MS Mincho;Times"/>
          <w:sz w:val="20"/>
        </w:rPr>
      </w:pPr>
      <w:r>
        <w:rPr>
          <w:rFonts w:ascii="Times New Roman" w:hAnsi="Times New Roman"/>
          <w:b w:val="0"/>
          <w:color w:val="000000"/>
          <w:sz w:val="20"/>
          <w:lang w:val="en-US"/>
        </w:rPr>
        <w:t xml:space="preserve">This document is a supplement to Dinosauria, second edition, edited by David B. Weishampel, Peter Dodson, and Halszka Osmolska (Berkeley: University of California Press, 2004). For other supplements and for more information about the book, please visit </w:t>
      </w:r>
      <w:hyperlink r:id="rId7">
        <w:r>
          <w:rPr>
            <w:rFonts w:ascii="Times New Roman" w:hAnsi="Times New Roman"/>
            <w:sz w:val="20"/>
            <w:b w:val="0"/>
            <w:color w:val="0563C1"/>
            <w:u w:val="single"/>
          </w:rPr>
          <w:t>Dinosauria supplemental materials website</w:t>
        </w:r>
      </w:hyperlink>
      <w:r>
        <w:rPr>
          <w:rFonts w:ascii="Times New Roman" w:hAnsi="Times New Roman"/>
          <w:b w:val="0"/>
          <w:color w:val="000000"/>
          <w:sz w:val="20"/>
          <w:lang w:val="en-US"/>
        </w:rPr>
        <w:t>.</w:t>
      </w:r>
    </w:p>
    <w:p>
      <w:pPr>
        <w:pStyle w:val="Normal"/>
        <w:spacing w:lineRule="auto" w:line="360"/>
        <w:rPr>
          <w:rFonts w:eastAsia="MS Mincho;Times"/>
          <w:sz w:val="20"/>
        </w:rPr>
      </w:pPr>
      <w:r>
        <w:rPr>
          <w:rFonts w:eastAsia="MS Mincho;Times" w:ascii="Times New Roman" w:hAnsi="Times New Roman"/>
          <w:sz w:val="20"/>
          <w:lang w:val="en-US"/>
        </w:rPr>
      </w:r>
    </w:p>
    <w:p>
      <w:pPr>
        <w:pStyle w:val="Normal"/>
        <w:spacing w:lineRule="auto" w:line="360"/>
        <w:rPr>
          <w:rFonts w:eastAsia="MS Mincho;Times"/>
        </w:rPr>
      </w:pPr>
      <w:r>
        <w:rPr>
          <w:rFonts w:eastAsia="MS Mincho;Times" w:ascii="Times New Roman" w:hAnsi="Times New Roman"/>
          <w:lang w:val="en-US"/>
        </w:rPr>
      </w:r>
    </w:p>
    <w:p>
      <w:pPr>
        <w:pStyle w:val="Heading1"/>
        <w:spacing w:lineRule="auto" w:line="360"/>
        <w:rPr>
          <w:rFonts w:eastAsia="MS Mincho;Times"/>
        </w:rPr>
      </w:pPr>
      <w:r>
        <w:rPr>
          <w:rFonts w:eastAsia="MS Mincho;Times" w:ascii="Times New Roman" w:hAnsi="Times New Roman"/>
          <w:lang w:val="en-US"/>
        </w:rPr>
        <w:t>Appendix 15.1</w:t>
      </w:r>
    </w:p>
    <w:p>
      <w:pPr>
        <w:pStyle w:val="Heading2"/>
        <w:spacing w:lineRule="auto" w:line="360"/>
        <w:rPr>
          <w:rFonts w:eastAsia="MS Mincho;Times"/>
        </w:rPr>
      </w:pPr>
      <w:r>
        <w:rPr>
          <w:rFonts w:eastAsia="MS Mincho;Times" w:ascii="Times New Roman" w:hAnsi="Times New Roman"/>
          <w:lang w:val="en-US"/>
        </w:rPr>
        <w:t>Character Description</w:t>
      </w:r>
    </w:p>
    <w:p>
      <w:pPr>
        <w:pStyle w:val="Heading3"/>
        <w:spacing w:lineRule="auto" w:line="360"/>
        <w:rPr>
          <w:rFonts w:eastAsia="MS Mincho;Times"/>
        </w:rPr>
      </w:pPr>
      <w:r>
        <w:rPr>
          <w:rFonts w:eastAsia="MS Mincho;Times" w:ascii="Times New Roman" w:hAnsi="Times New Roman"/>
          <w:lang w:val="en-US"/>
        </w:rPr>
        <w:t>Basal Thyreophora</w:t>
      </w:r>
    </w:p>
    <w:p>
      <w:pPr>
        <w:pStyle w:val="Normal"/>
        <w:spacing w:lineRule="auto" w:line="360"/>
        <w:rPr>
          <w:rFonts w:eastAsia="MS Mincho;Times"/>
        </w:rPr>
      </w:pPr>
      <w:r>
        <w:rPr>
          <w:rFonts w:eastAsia="MS Mincho;Times" w:ascii="Times New Roman" w:hAnsi="Times New Roman"/>
          <w:lang w:val="en-US"/>
        </w:rPr>
      </w:r>
    </w:p>
    <w:p>
      <w:pPr>
        <w:pStyle w:val="Normal"/>
        <w:spacing w:lineRule="auto" w:line="360"/>
        <w:rPr>
          <w:rFonts w:eastAsia="MS Mincho;Times"/>
        </w:rPr>
      </w:pPr>
      <w:r>
        <w:rPr>
          <w:rFonts w:eastAsia="MS Mincho;Times" w:ascii="Times New Roman" w:hAnsi="Times New Roman"/>
          <w:lang w:val="en-US"/>
        </w:rPr>
        <w:t xml:space="preserve">Characters used in PAUP analyses are from Sereno 1986, 1999a; Coombs et al. 1990; and personal observations. </w:t>
      </w:r>
    </w:p>
    <w:p>
      <w:pPr>
        <w:pStyle w:val="Normal"/>
        <w:spacing w:lineRule="auto" w:line="360" w:after="80"/>
        <w:rPr>
          <w:rFonts w:eastAsia="MS Mincho;Times"/>
        </w:rPr>
        <w:keepLines w:val="0"/>
        <w:numPr>
          <w:ilvl w:val="0"/>
          <w:numId w:val="1"/>
        </w:numPr>
      </w:pPr>
      <w:r>
        <w:rPr>
          <w:rFonts w:eastAsia="MS Mincho;Times" w:ascii="Times New Roman" w:hAnsi="Times New Roman"/>
          <w:lang w:val="en-US"/>
        </w:rPr>
        <w:t>Postorbital process of the jugal: transversely narrow (0), transversely broad (1).</w:t>
      </w:r>
    </w:p>
    <w:p>
      <w:pPr>
        <w:pStyle w:val="Normal"/>
        <w:spacing w:lineRule="auto" w:line="360" w:after="80"/>
        <w:rPr>
          <w:rFonts w:eastAsia="MS Mincho;Times"/>
        </w:rPr>
        <w:keepLines w:val="0"/>
        <w:numPr>
          <w:ilvl w:val="0"/>
          <w:numId w:val="1"/>
        </w:numPr>
      </w:pPr>
      <w:r>
        <w:rPr>
          <w:rFonts w:eastAsia="MS Mincho;Times" w:ascii="Times New Roman" w:hAnsi="Times New Roman"/>
          <w:lang w:val="en-US"/>
        </w:rPr>
        <w:t>Basisphenoid: longer than basioccipital (0), shorter than basioccipital (1).</w:t>
      </w:r>
    </w:p>
    <w:p>
      <w:pPr>
        <w:pStyle w:val="Normal"/>
        <w:spacing w:lineRule="auto" w:line="360" w:after="80"/>
        <w:rPr>
          <w:rFonts w:eastAsia="MS Mincho;Times"/>
        </w:rPr>
        <w:keepLines w:val="0"/>
        <w:numPr>
          <w:ilvl w:val="0"/>
          <w:numId w:val="1"/>
        </w:numPr>
      </w:pPr>
      <w:r>
        <w:rPr>
          <w:rFonts w:eastAsia="MS Mincho;Times" w:ascii="Times New Roman" w:hAnsi="Times New Roman"/>
          <w:lang w:val="en-US"/>
        </w:rPr>
        <w:t>Parasagittal row of scutes on the dorsum of the body: absent (0), present (1).</w:t>
      </w:r>
    </w:p>
    <w:p>
      <w:pPr>
        <w:pStyle w:val="Normal"/>
        <w:spacing w:lineRule="auto" w:line="360" w:after="80"/>
        <w:rPr>
          <w:rFonts w:eastAsia="MS Mincho;Times"/>
        </w:rPr>
        <w:keepLines w:val="0"/>
        <w:numPr>
          <w:ilvl w:val="0"/>
          <w:numId w:val="1"/>
        </w:numPr>
      </w:pPr>
      <w:r>
        <w:rPr>
          <w:rFonts w:eastAsia="MS Mincho;Times" w:ascii="Times New Roman" w:hAnsi="Times New Roman"/>
          <w:lang w:val="en-US"/>
        </w:rPr>
        <w:t>Lateral row of keeled scutes on the dorsum of the body: absent (0), present (1).</w:t>
      </w:r>
    </w:p>
    <w:p>
      <w:pPr>
        <w:pStyle w:val="Normal"/>
        <w:spacing w:lineRule="auto" w:line="360" w:after="80"/>
        <w:rPr>
          <w:rFonts w:eastAsia="MS Mincho;Times"/>
        </w:rPr>
        <w:keepLines w:val="0"/>
        <w:numPr>
          <w:ilvl w:val="0"/>
          <w:numId w:val="1"/>
        </w:numPr>
      </w:pPr>
      <w:r>
        <w:rPr>
          <w:rFonts w:eastAsia="MS Mincho;Times" w:ascii="Times New Roman" w:hAnsi="Times New Roman"/>
          <w:lang w:val="en-US"/>
        </w:rPr>
        <w:t>Supraorbital base: narrow (0), wide (1).</w:t>
      </w:r>
    </w:p>
    <w:p>
      <w:pPr>
        <w:pStyle w:val="Normal"/>
        <w:spacing w:lineRule="auto" w:line="360" w:after="80"/>
        <w:rPr>
          <w:rFonts w:eastAsia="MS Mincho;Times"/>
        </w:rPr>
        <w:keepLines w:val="0"/>
        <w:numPr>
          <w:ilvl w:val="0"/>
          <w:numId w:val="1"/>
        </w:numPr>
      </w:pPr>
      <w:r>
        <w:rPr>
          <w:rFonts w:eastAsia="MS Mincho;Times" w:ascii="Times New Roman" w:hAnsi="Times New Roman"/>
          <w:lang w:val="en-US"/>
        </w:rPr>
        <w:t>Medial (pterygoid) ramus of the quadrate: similar in size to the lateral ramus (0), more robust than lateral ramus (1)</w:t>
      </w:r>
    </w:p>
    <w:p>
      <w:pPr>
        <w:pStyle w:val="Normal"/>
        <w:spacing w:lineRule="auto" w:line="360" w:after="80"/>
        <w:rPr>
          <w:rFonts w:eastAsia="MS Mincho;Times"/>
        </w:rPr>
        <w:keepLines w:val="0"/>
        <w:numPr>
          <w:ilvl w:val="0"/>
          <w:numId w:val="1"/>
        </w:numPr>
      </w:pPr>
      <w:r>
        <w:rPr>
          <w:rFonts w:eastAsia="MS Mincho;Times" w:ascii="Times New Roman" w:hAnsi="Times New Roman"/>
          <w:lang w:val="en-US"/>
        </w:rPr>
        <w:t>Differentiation of scutes: absent (0), present (1).</w:t>
      </w:r>
    </w:p>
    <w:p>
      <w:pPr>
        <w:pStyle w:val="Normal"/>
        <w:spacing w:lineRule="auto" w:line="360" w:after="80"/>
        <w:rPr>
          <w:rFonts w:eastAsia="MS Mincho;Times"/>
        </w:rPr>
        <w:keepLines w:val="0"/>
        <w:numPr>
          <w:ilvl w:val="0"/>
          <w:numId w:val="1"/>
        </w:numPr>
      </w:pPr>
      <w:r>
        <w:rPr>
          <w:rFonts w:eastAsia="MS Mincho;Times" w:ascii="Times New Roman" w:hAnsi="Times New Roman"/>
          <w:lang w:val="en-US"/>
        </w:rPr>
        <w:t>Median palatal keel: absent (0), present (1).</w:t>
      </w:r>
    </w:p>
    <w:p>
      <w:pPr>
        <w:pStyle w:val="Normal"/>
        <w:spacing w:lineRule="auto" w:line="360" w:after="80"/>
        <w:rPr>
          <w:rFonts w:eastAsia="MS Mincho;Times"/>
        </w:rPr>
        <w:keepLines w:val="0"/>
        <w:numPr>
          <w:ilvl w:val="0"/>
          <w:numId w:val="1"/>
        </w:numPr>
      </w:pPr>
      <w:r>
        <w:rPr>
          <w:rFonts w:eastAsia="MS Mincho;Times" w:ascii="Times New Roman" w:hAnsi="Times New Roman"/>
          <w:lang w:val="en-US"/>
        </w:rPr>
        <w:t>Ventral excavation of scutes: absent (0), present (1).</w:t>
      </w:r>
    </w:p>
    <w:p>
      <w:pPr>
        <w:pStyle w:val="Normal"/>
        <w:spacing w:lineRule="auto" w:line="360" w:after="80"/>
        <w:rPr>
          <w:rFonts w:eastAsia="MS Mincho;Times"/>
        </w:rPr>
        <w:keepLines w:val="0"/>
        <w:numPr>
          <w:ilvl w:val="0"/>
          <w:numId w:val="1"/>
        </w:numPr>
      </w:pPr>
      <w:r>
        <w:rPr>
          <w:rFonts w:eastAsia="MS Mincho;Times" w:ascii="Times New Roman" w:hAnsi="Times New Roman"/>
          <w:lang w:val="en-US"/>
        </w:rPr>
        <w:t>Pterygoid and vomer: short (0), vertically tall (1).</w:t>
      </w:r>
    </w:p>
    <w:p>
      <w:pPr>
        <w:pStyle w:val="Normal"/>
        <w:spacing w:lineRule="auto" w:line="360" w:after="80"/>
        <w:rPr>
          <w:rFonts w:eastAsia="MS Mincho;Times"/>
        </w:rPr>
        <w:keepLines w:val="0"/>
        <w:numPr>
          <w:ilvl w:val="0"/>
          <w:numId w:val="1"/>
        </w:numPr>
      </w:pPr>
      <w:r>
        <w:rPr>
          <w:rFonts w:eastAsia="MS Mincho;Times" w:ascii="Times New Roman" w:hAnsi="Times New Roman"/>
          <w:lang w:val="en-US"/>
        </w:rPr>
        <w:t>Trunk, compared with hindlimb: short (0), long (1).</w:t>
      </w:r>
    </w:p>
    <w:p>
      <w:pPr>
        <w:pStyle w:val="Normal"/>
        <w:spacing w:lineRule="auto" w:line="360" w:after="80"/>
        <w:rPr>
          <w:rFonts w:eastAsia="MS Mincho;Times"/>
        </w:rPr>
        <w:keepLines w:val="0"/>
        <w:numPr>
          <w:ilvl w:val="0"/>
          <w:numId w:val="1"/>
        </w:numPr>
      </w:pPr>
      <w:r>
        <w:rPr>
          <w:rFonts w:eastAsia="MS Mincho;Times" w:ascii="Times New Roman" w:hAnsi="Times New Roman"/>
          <w:lang w:val="en-US"/>
        </w:rPr>
        <w:t>Ilium compared with femur: short (0), long (1).</w:t>
      </w:r>
    </w:p>
    <w:p>
      <w:pPr>
        <w:pStyle w:val="Normal"/>
        <w:spacing w:lineRule="auto" w:line="360" w:after="80"/>
        <w:rPr>
          <w:rFonts w:eastAsia="MS Mincho;Times"/>
        </w:rPr>
        <w:keepLines w:val="0"/>
        <w:numPr>
          <w:ilvl w:val="0"/>
          <w:numId w:val="1"/>
        </w:numPr>
      </w:pPr>
      <w:r>
        <w:rPr>
          <w:rFonts w:eastAsia="MS Mincho;Times" w:ascii="Times New Roman" w:hAnsi="Times New Roman"/>
          <w:lang w:val="en-US"/>
        </w:rPr>
        <w:t>Antorbital fenestra: large (0), reduced (1).</w:t>
      </w:r>
    </w:p>
    <w:p>
      <w:pPr>
        <w:pStyle w:val="Normal"/>
        <w:spacing w:lineRule="auto" w:line="360" w:after="80"/>
        <w:rPr>
          <w:rFonts w:eastAsia="MS Mincho;Times"/>
        </w:rPr>
        <w:keepLines w:val="0"/>
        <w:numPr>
          <w:ilvl w:val="0"/>
          <w:numId w:val="1"/>
        </w:numPr>
      </w:pPr>
      <w:r>
        <w:rPr>
          <w:rFonts w:eastAsia="MS Mincho;Times" w:ascii="Times New Roman" w:hAnsi="Times New Roman"/>
          <w:lang w:val="en-US"/>
        </w:rPr>
        <w:t>Infratemporal fenestra: wide (0), narrow (1).</w:t>
      </w:r>
    </w:p>
    <w:p>
      <w:pPr>
        <w:pStyle w:val="Normal"/>
        <w:spacing w:lineRule="auto" w:line="360" w:after="80"/>
        <w:rPr>
          <w:rFonts w:eastAsia="MS Mincho;Times"/>
        </w:rPr>
        <w:keepLines w:val="0"/>
        <w:numPr>
          <w:ilvl w:val="0"/>
          <w:numId w:val="1"/>
        </w:numPr>
      </w:pPr>
      <w:r>
        <w:rPr>
          <w:rFonts w:eastAsia="MS Mincho;Times" w:ascii="Times New Roman" w:hAnsi="Times New Roman"/>
          <w:lang w:val="en-US"/>
        </w:rPr>
        <w:t>External mandibular fenestra: present (0), absent (1).</w:t>
      </w:r>
    </w:p>
    <w:p>
      <w:pPr>
        <w:pStyle w:val="Normal"/>
        <w:spacing w:lineRule="auto" w:line="360" w:after="80"/>
        <w:rPr>
          <w:rFonts w:eastAsia="MS Mincho;Times"/>
        </w:rPr>
        <w:keepLines w:val="0"/>
        <w:numPr>
          <w:ilvl w:val="0"/>
          <w:numId w:val="1"/>
        </w:numPr>
      </w:pPr>
      <w:r>
        <w:rPr>
          <w:rFonts w:eastAsia="MS Mincho;Times" w:ascii="Times New Roman" w:hAnsi="Times New Roman"/>
          <w:lang w:val="en-US"/>
        </w:rPr>
        <w:t>Ventral deflection of the mesial dentary tooth row: absent (0), present (1).</w:t>
      </w:r>
    </w:p>
    <w:p>
      <w:pPr>
        <w:pStyle w:val="Normal"/>
        <w:spacing w:lineRule="auto" w:line="360" w:after="80"/>
        <w:rPr>
          <w:rFonts w:eastAsia="MS Mincho;Times"/>
        </w:rPr>
        <w:keepLines w:val="0"/>
        <w:numPr>
          <w:ilvl w:val="0"/>
          <w:numId w:val="1"/>
        </w:numPr>
      </w:pPr>
      <w:r>
        <w:rPr>
          <w:rFonts w:eastAsia="MS Mincho;Times" w:ascii="Times New Roman" w:hAnsi="Times New Roman"/>
          <w:lang w:val="en-US"/>
        </w:rPr>
        <w:t>Deltopectoral crest: above midshaft (0), at midshaft (1).</w:t>
      </w:r>
    </w:p>
    <w:p>
      <w:pPr>
        <w:pStyle w:val="Normal"/>
        <w:spacing w:lineRule="auto" w:line="360" w:after="80"/>
        <w:rPr>
          <w:rFonts w:eastAsia="MS Mincho;Times"/>
        </w:rPr>
        <w:keepLines w:val="0"/>
        <w:numPr>
          <w:ilvl w:val="0"/>
          <w:numId w:val="1"/>
        </w:numPr>
      </w:pPr>
      <w:r>
        <w:rPr>
          <w:rFonts w:eastAsia="MS Mincho;Times" w:ascii="Times New Roman" w:hAnsi="Times New Roman"/>
          <w:lang w:val="en-US"/>
        </w:rPr>
        <w:t>Femoral neck: absent (0), present (1).</w:t>
      </w:r>
    </w:p>
    <w:p>
      <w:pPr>
        <w:pStyle w:val="Normal"/>
        <w:spacing w:lineRule="auto" w:line="360" w:after="80"/>
        <w:rPr>
          <w:rFonts w:eastAsia="MS Mincho;Times"/>
        </w:rPr>
        <w:keepLines w:val="0"/>
        <w:numPr>
          <w:ilvl w:val="0"/>
          <w:numId w:val="1"/>
        </w:numPr>
      </w:pPr>
      <w:r>
        <w:rPr>
          <w:rFonts w:eastAsia="MS Mincho;Times" w:ascii="Times New Roman" w:hAnsi="Times New Roman"/>
          <w:lang w:val="en-US"/>
        </w:rPr>
        <w:t>Elevated dorsal ramus of the lacrimal: absent (0), present (1).</w:t>
      </w:r>
    </w:p>
    <w:p>
      <w:pPr>
        <w:pStyle w:val="Normal"/>
        <w:spacing w:lineRule="auto" w:line="360" w:after="80"/>
        <w:rPr>
          <w:rFonts w:eastAsia="MS Mincho;Times"/>
        </w:rPr>
        <w:keepLines w:val="0"/>
        <w:numPr>
          <w:ilvl w:val="0"/>
          <w:numId w:val="1"/>
        </w:numPr>
      </w:pPr>
      <w:r>
        <w:rPr>
          <w:rFonts w:eastAsia="MS Mincho;Times" w:ascii="Times New Roman" w:hAnsi="Times New Roman"/>
          <w:lang w:val="en-US"/>
        </w:rPr>
        <w:t>Ratio of root length to crown length: equal to or less than 0.7 (0), greater than 0.7 (1).</w:t>
      </w:r>
    </w:p>
    <w:p>
      <w:pPr>
        <w:pStyle w:val="Normal"/>
        <w:spacing w:lineRule="auto" w:line="360" w:after="80"/>
        <w:rPr>
          <w:rFonts w:eastAsia="MS Mincho;Times"/>
        </w:rPr>
        <w:keepLines w:val="0"/>
        <w:numPr>
          <w:ilvl w:val="0"/>
          <w:numId w:val="1"/>
        </w:numPr>
      </w:pPr>
      <w:r>
        <w:rPr>
          <w:rFonts w:eastAsia="MS Mincho;Times" w:ascii="Times New Roman" w:hAnsi="Times New Roman"/>
          <w:lang w:val="en-US"/>
        </w:rPr>
        <w:t>Length of metacarpals: equal (0), subequal (1).</w:t>
      </w:r>
    </w:p>
    <w:p>
      <w:pPr>
        <w:pStyle w:val="Normal"/>
        <w:spacing w:lineRule="auto" w:line="360" w:after="80"/>
        <w:rPr>
          <w:rFonts w:eastAsia="MS Mincho;Times"/>
        </w:rPr>
        <w:keepLines w:val="0"/>
        <w:numPr>
          <w:ilvl w:val="0"/>
          <w:numId w:val="1"/>
        </w:numPr>
      </w:pPr>
      <w:r>
        <w:rPr>
          <w:rFonts w:eastAsia="MS Mincho;Times" w:ascii="Times New Roman" w:hAnsi="Times New Roman"/>
          <w:lang w:val="en-US"/>
        </w:rPr>
        <w:t>Hooves: absent (0), present (1).</w:t>
      </w:r>
    </w:p>
    <w:p>
      <w:pPr>
        <w:pStyle w:val="Normal"/>
        <w:spacing w:lineRule="auto" w:line="360" w:after="80"/>
        <w:rPr>
          <w:rFonts w:eastAsia="MS Mincho;Times"/>
        </w:rPr>
        <w:keepLines w:val="0"/>
        <w:numPr>
          <w:ilvl w:val="0"/>
          <w:numId w:val="1"/>
        </w:numPr>
      </w:pPr>
      <w:r>
        <w:rPr>
          <w:rFonts w:eastAsia="MS Mincho;Times" w:ascii="Times New Roman" w:hAnsi="Times New Roman"/>
          <w:lang w:val="en-US"/>
        </w:rPr>
        <w:t>Supraorbitals: separate elements in orbit (0), completely incorporated into orbital margin (1).</w:t>
      </w:r>
    </w:p>
    <w:p>
      <w:pPr>
        <w:pStyle w:val="Normal"/>
        <w:spacing w:lineRule="auto" w:line="360"/>
        <w:rPr>
          <w:rFonts w:eastAsia="MS Mincho;Times"/>
        </w:rPr>
      </w:pPr>
      <w:r>
        <w:rPr>
          <w:rFonts w:eastAsia="MS Mincho;Times" w:ascii="Times New Roman" w:hAnsi="Times New Roman"/>
          <w:lang w:val="en-US"/>
        </w:rPr>
      </w:r>
    </w:p>
    <w:p>
      <w:pPr>
        <w:pStyle w:val="Normal"/>
        <w:spacing w:lineRule="auto" w:line="360"/>
        <w:rPr>
          <w:rFonts w:eastAsia="MS Mincho;Times"/>
        </w:rPr>
      </w:pPr>
      <w:r>
        <w:rPr>
          <w:rFonts w:eastAsia="MS Mincho;Times" w:ascii="Times New Roman" w:hAnsi="Times New Roman"/>
          <w:lang w:val="en-US"/>
        </w:rPr>
      </w:r>
    </w:p>
    <w:sectPr>
      <w:headerReference w:type="default" r:id="rId2"/>
      <w:footerReference w:type="default" r:id="rId6"/>
      <w:type w:val="nextPage"/>
      <w:pgSz w:w="12240" w:h="15840"/>
      <w:pgMar w:left="1319" w:right="1319" w:gutter="0" w:header="504" w:top="1440" w:footer="504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0"/>
    <w:family w:val="auto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  <w:lang w:val="en-US"/>
      </w:rPr>
      <w:t xml:space="preserve">Page </w:t>
    </w:r>
    <w:fldSimple w:instr="PAGE">
      <w:r>
        <w:rPr>
          <w:sz w:val="18"/>
        </w:rPr>
        <w:t>1</w:t>
      </w:r>
    </w:fldSimple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320"/>
        <w:tab w:val="right" w:pos="5400" w:leader="none"/>
      </w:tabs>
      <w:rPr>
        <w:sz w:val="20"/>
      </w:rPr>
    </w:pPr>
  </w:p>
</w:hdr>
</file>

<file path=word/numbering.xml><?xml version="1.0" encoding="utf-8"?>
<w:numbering xmlns:w="http://schemas.openxmlformats.org/wordprocessingml/2006/main">
  <w:abstractNum w:abstractNumId="1">
    <w:multiLevelType w:val="singleLevel"/>
    <w:lvl w:ilvl="0">
      <w:start w:val="1"/>
      <w:numFmt w:val="decimal"/>
      <w:lvlText w:val="%1."/>
      <w:suff w:val="space"/>
      <w:pPr>
        <w:tabs>
          <w:tab w:val="num" w:pos="480"/>
        </w:tabs>
        <w:ind w:left="48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5"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Noto Sans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after="100" w:line="259" w:lineRule="auto"/>
    </w:pPr>
    <w:rPr>
      <w:rFonts w:ascii="Times New Roman" w:hAnsi="Times New Roman" w:eastAsia="Times New Roman" w:cs="Times New Roman"/>
      <w:b w:val="0"/>
      <w:color w:val="000000"/>
      <w:sz w:val="22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character" w:styleId="CommentReference">
    <w:name w:val="Comment Reference"/>
    <w:basedOn w:val="DefaultParagraphFont"/>
    <w:qFormat/>
    <w:rPr>
      <w:sz w:val="16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CommentText">
    <w:name w:val="Comment Text"/>
    <w:basedOn w:val="Normal"/>
    <w:qFormat/>
    <w:pPr/>
    <w:rPr>
      <w:sz w:val="20"/>
    </w:rPr>
  </w:style>
  <w:style w:type="paragraph" w:customStyle="1" w:styleId="Heading1">
    <w:name w:val="heading 1"/>
    <w:pPr>
      <w:keepNext/>
      <w:spacing w:before="200" w:after="80"/>
    </w:pPr>
    <w:rPr>
      <w:rFonts w:ascii="Times New Roman" w:hAnsi="Times New Roman"/>
      <w:b/>
      <w:color w:val="7A1F1F"/>
      <w:sz w:val="32"/>
    </w:rPr>
  </w:style>
  <w:style w:type="paragraph" w:customStyle="1" w:styleId="Heading2">
    <w:name w:val="heading 2"/>
    <w:pPr>
      <w:keepNext/>
      <w:spacing w:before="160" w:after="60"/>
    </w:pPr>
    <w:rPr>
      <w:rFonts w:ascii="Times New Roman" w:hAnsi="Times New Roman"/>
      <w:b/>
      <w:color w:val="7A1F1F"/>
      <w:sz w:val="28"/>
    </w:rPr>
  </w:style>
  <w:style w:type="paragraph" w:customStyle="1" w:styleId="Heading3">
    <w:name w:val="heading 3"/>
    <w:pPr>
      <w:keepNext/>
      <w:spacing w:before="120" w:after="100"/>
    </w:pPr>
    <w:rPr>
      <w:rFonts w:ascii="Times New Roman" w:hAnsi="Times New Roman"/>
      <w:b/>
      <w:color w:val="7A1F1F"/>
      <w:sz w:val="24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footer" Target="footer1.xml"/><Relationship Id="rId7" Type="http://schemas.openxmlformats.org/officeDocument/2006/relationships/hyperlink" Target="http://dinosauria.ucpress.edu" TargetMode="External"/><Relationship Id="rId8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LibreOfficeDev/26.8.0.0.alpha0$Linux_X86_64 LibreOffice_project/2c87e51eeaa2b413ff4ae097b2705eea1995d8e5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2004-11-23T15:52:00Z</dcterms:created>
  <dc:creator>Dave Weishampel</dc:creator>
  <dc:description>Accessibility-remediated edition with semantic headings, lists, and tables.</dc:description>
  <dc:language>en-US</dc:language>
  <cp:lastModifiedBy>John Connolly</cp:lastModifiedBy>
  <dcterms:modified xsi:type="dcterms:W3CDTF">2004-11-24T15:11:00Z</dcterms:modified>
  <cp:revision>3</cp:revision>
  <dc:subject>Accessible supplement to Dinosauria, second edition</dc:subject>
  <dc:title>Appendix 15.1 — Character Description — Basal Thyreophora</dc:title>
  <cp:keywords>Dinosauria; paleontology; character descriptions; character-taxon matrix; accessible Word document</cp:keywords>
</cp:coreProperties>
</file>