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after="200"/>
        <w:jc w:val="center"/>
        <w:rPr/>
      </w:pPr>
      <w:r>
        <w:rPr>
          <w:rFonts w:ascii="Times New Roman" w:hAnsi="Times New Roman"/>
          <w:b w:val="0"/>
          <w:color w:val="000000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8">
        <w:r>
          <w:rPr>
            <w:rFonts w:ascii="Times New Roman" w:hAnsi="Times New Roman"/>
            <w:sz w:val="20"/>
            <w:b w:val="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b w:val="0"/>
          <w:color w:val="000000"/>
          <w:sz w:val="20"/>
          <w:lang w:val="en-US"/>
        </w:rPr>
        <w:t>.</w:t>
      </w:r>
    </w:p>
    <w:p>
      <w:pPr>
        <w:pStyle w:val="PlainText"/>
        <w:spacing w:lineRule="auto" w:line="360"/>
        <w:jc w:val="center"/>
        <w:rPr>
          <w:rFonts w:ascii="Times New Roman" w:hAnsi="Times New Roman" w:eastAsia="MS Mincho;Times" w:cs="Times New Roman"/>
          <w:sz w:val="24"/>
        </w:rPr>
      </w:pPr>
      <w:r>
        <w:rPr>
          <w:rFonts w:eastAsia="MS Mincho;Times" w:cs="Times New Roman" w:ascii="Times New Roman" w:hAnsi="Times New Roman"/>
          <w:sz w:val="24"/>
          <w:lang w:val="en-US"/>
        </w:rPr>
      </w:r>
    </w:p>
    <w:p>
      <w:pPr>
        <w:pStyle w:val="Heading1"/>
        <w:spacing w:lineRule="auto" w:line="360"/>
        <w:jc w:val="center"/>
        <w:rPr>
          <w:rFonts w:ascii="Times New Roman" w:hAnsi="Times New Roman" w:eastAsia="MS Mincho;Times" w:cs="Times New Roman"/>
          <w:sz w:val="24"/>
        </w:rPr>
      </w:pPr>
      <w:r>
        <w:rPr>
          <w:rFonts w:eastAsia="MS Mincho;Times" w:cs="Times New Roman" w:ascii="Times New Roman" w:hAnsi="Times New Roman"/>
          <w:sz w:val="24"/>
          <w:lang w:val="en-US"/>
        </w:rPr>
        <w:t>Appendix 15.2</w:t>
      </w:r>
    </w:p>
    <w:p>
      <w:pPr>
        <w:pStyle w:val="Heading2"/>
        <w:spacing w:lineRule="auto" w:line="360"/>
        <w:jc w:val="center"/>
        <w:rPr>
          <w:rFonts w:ascii="Times New Roman" w:hAnsi="Times New Roman" w:eastAsia="MS Mincho;Times" w:cs="Times New Roman"/>
          <w:sz w:val="24"/>
        </w:rPr>
      </w:pPr>
      <w:r>
        <w:rPr>
          <w:rFonts w:eastAsia="MS Mincho;Times" w:cs="Times New Roman" w:ascii="Times New Roman" w:hAnsi="Times New Roman"/>
          <w:sz w:val="24"/>
          <w:lang w:val="en-US"/>
        </w:rPr>
        <w:t>Character-Taxon Matrix</w:t>
      </w:r>
    </w:p>
    <w:p>
      <w:pPr>
        <w:pStyle w:val="Heading3"/>
        <w:spacing w:lineRule="auto" w:line="360"/>
        <w:jc w:val="center"/>
        <w:rPr>
          <w:rFonts w:ascii="Times New Roman" w:hAnsi="Times New Roman" w:eastAsia="MS Mincho;Times" w:cs="Times New Roman"/>
          <w:sz w:val="24"/>
        </w:rPr>
      </w:pPr>
      <w:r>
        <w:rPr>
          <w:rFonts w:eastAsia="MS Mincho;Times" w:cs="Times New Roman" w:ascii="Times New Roman" w:hAnsi="Times New Roman"/>
          <w:sz w:val="24"/>
          <w:lang w:val="en-US"/>
        </w:rPr>
        <w:t>Basal Thyreophora</w:t>
      </w:r>
    </w:p>
    <w:p>
      <w:pPr>
        <w:pStyle w:val="PlainText"/>
        <w:spacing w:lineRule="auto" w:line="360"/>
        <w:rPr>
          <w:rFonts w:ascii="Times New Roman" w:hAnsi="Times New Roman" w:eastAsia="MS Mincho;Times" w:cs="Times New Roman"/>
          <w:sz w:val="24"/>
        </w:rPr>
      </w:pPr>
      <w:r>
        <w:rPr>
          <w:rFonts w:eastAsia="MS Mincho;Times" w:cs="Times New Roman" w:ascii="Times New Roman" w:hAnsi="Times New Roman"/>
          <w:sz w:val="24"/>
          <w:lang w:val="en-US"/>
        </w:rPr>
      </w:r>
    </w:p>
    <w:p>
      <w:pPr>
        <w:pStyle w:val="PlainText"/>
        <w:tabs>
          <w:tab w:val="clear" w:pos="720"/>
          <w:tab w:val="decimal" w:pos="3240" w:leader="none"/>
          <w:tab w:val="left" w:pos="4440" w:leader="none"/>
          <w:tab w:val="left" w:pos="6000" w:leader="none"/>
          <w:tab w:val="left" w:pos="7920" w:leader="none"/>
        </w:tabs>
        <w:spacing w:lineRule="auto" w:line="360"/>
        <w:rPr/>
      </w:pPr>
      <w:r>
        <w:rPr>
          <w:rFonts w:eastAsia="MS Mincho;Times" w:cs="Times New Roman" w:ascii="Times New Roman" w:hAnsi="Times New Roman"/>
          <w:sz w:val="24"/>
          <w:lang w:val="en-US"/>
        </w:rPr>
        <w:tab/>
      </w:r>
      <w:r>
        <w:rPr>
          <w:rFonts w:eastAsia="MS Mincho;Times" w:cs="Courier" w:ascii="Courier" w:hAnsi="Courier"/>
          <w:sz w:val="24"/>
          <w:lang w:val="en-US"/>
        </w:rPr>
        <w:t>10</w:t>
        <w:tab/>
        <w:t>20</w:t>
        <w:tab/>
        <w:t>30</w:t>
      </w:r>
    </w:p>
    <w:p>
      <w:pPr>
        <w:pStyle w:val="PlainText"/>
        <w:tabs>
          <w:tab w:val="clear" w:pos="720"/>
          <w:tab w:val="left" w:pos="2160" w:leader="none"/>
        </w:tabs>
        <w:spacing w:lineRule="auto" w:line="360"/>
        <w:rPr>
          <w:rFonts w:ascii="Times New Roman" w:hAnsi="Times New Roman" w:eastAsia="MS Mincho;Times" w:cs="Times New Roman"/>
          <w:sz w:val="24"/>
        </w:rPr>
      </w:pPr>
      <w:r>
        <w:rPr>
          <w:rFonts w:eastAsia="MS Mincho;Times" w:cs="Times New Roman" w:ascii="Times New Roman" w:hAnsi="Times New Roman"/>
          <w:sz w:val="24"/>
          <w:lang w:val="en-US"/>
        </w:rPr>
      </w:r>
    </w:p>
    <w:p>
      <w:pPr>
        <w:spacing w:before="80" w:after="160"/>
      </w:pPr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726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Outgroup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0000000000 0000000000 0000000000 00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Lesothosaurus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0000000000 0000?00000 00000?0000 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Cerapoda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0000000000 0000000000 0000000010 00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Scutellosaurus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?1100????? ???0000000 01000?00?? ?0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Emausaurus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11?01?1?0? ???00????? ?????0?011 00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Scelidosaurus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1111111100 10???00000 11000?0111 11</w:t>
            </w:r>
          </w:p>
        </w:tc>
      </w:tr>
      <w:tr>
        <w:trPr>
          <w:cantSplit/>
        </w:trPr>
        <w:tc>
          <w:tcPr>
            <w:tcW w:type="dxa" w:w="21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Eurypoda</w:t>
            </w:r>
          </w:p>
        </w:tc>
        <w:tc>
          <w:tcPr>
            <w:tcW w:type="dxa" w:w="726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7"/>
                <w:lang w:val="en-US"/>
              </w:rPr>
              <w:t>1111111111 1111111111 1101111001 01</w:t>
            </w:r>
          </w:p>
        </w:tc>
      </w:tr>
    </w:tbl>
    <w:sectPr>
      <w:headerReference w:type="default" r:id="rId6"/>
      <w:footerReference w:type="default" r:id="rId7"/>
      <w:type w:val="nextPage"/>
      <w:pgSz w:w="12240" w:h="15840"/>
      <w:pgMar w:left="1440" w:right="1440" w:gutter="0" w:header="504" w:top="1440" w:footer="504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0"/>
    <w:family w:val="auto"/>
    <w:pitch w:val="variable"/>
  </w:font>
  <w:font w:name="Courier">
    <w:altName w:val="Courier New"/>
    <w:charset w:val="00"/>
    <w:family w:val="auto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val="bestFit" w:percent="2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 New Roman"/>
      <w:b w:val="0"/>
      <w:color w:val="000000"/>
      <w:sz w:val="22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customStyle="1" w:styleId="Heading1">
    <w:name w:val="heading 1"/>
    <w:pPr>
      <w:keepNext/>
      <w:spacing w:before="200" w:after="80"/>
    </w:pPr>
    <w:rPr>
      <w:rFonts w:ascii="Times New Roman" w:hAnsi="Times New Roman"/>
      <w:b/>
      <w:color w:val="7A1F1F"/>
      <w:sz w:val="32"/>
    </w:rPr>
  </w:style>
  <w:style w:type="paragraph" w:customStyle="1" w:styleId="Heading2">
    <w:name w:val="heading 2"/>
    <w:pPr>
      <w:keepNext/>
      <w:spacing w:before="160" w:after="60"/>
    </w:pPr>
    <w:rPr>
      <w:rFonts w:ascii="Times New Roman" w:hAnsi="Times New Roman"/>
      <w:b/>
      <w:color w:val="7A1F1F"/>
      <w:sz w:val="28"/>
    </w:rPr>
  </w:style>
  <w:style w:type="paragraph" w:customStyle="1" w:styleId="Heading3">
    <w:name w:val="heading 3"/>
    <w:pPr>
      <w:keepNext/>
      <w:spacing w:before="120" w:after="100"/>
    </w:pPr>
    <w:rPr>
      <w:rFonts w:ascii="Times New Roman" w:hAnsi="Times New Roman"/>
      <w:b/>
      <w:color w:val="7A1F1F"/>
      <w:sz w:val="24"/>
    </w:rPr>
  </w:style>
  <w:style w:type="table" w:customStyle="1" w:styleId="TableGrid">
    <w:name w:val="Table Grid"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inosauria.ucpress.ed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2004-11-23T15:53:00Z</dcterms:created>
  <dc:creator>Dave Weishampel</dc:creator>
  <dc:description>Accessibility-remediated edition with semantic headings, lists, and tables.</dc:description>
  <dc:language>en-US</dc:language>
  <cp:lastModifiedBy>John Connolly</cp:lastModifiedBy>
  <dcterms:modified xsi:type="dcterms:W3CDTF">2004-11-24T15:09:00Z</dcterms:modified>
  <cp:revision>3</cp:revision>
  <dc:subject>Accessible supplement to Dinosauria, second edition</dc:subject>
  <dc:title>Appendix 15.2 — Character-Taxon Matrix — Basal Thyreophora</dc:title>
  <cp:keywords>Dinosauria; paleontology; character descriptions; character-taxon matrix; accessible Word document</cp:keywords>
</cp:coreProperties>
</file>