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4320"/>
          <w:tab w:val="clear" w:pos="8640"/>
          <w:tab w:val="left" w:pos="0" w:leader="none"/>
          <w:tab w:val="left" w:pos="543" w:leader="none"/>
          <w:tab w:val="right" w:pos="5311" w:leader="none"/>
        </w:tabs>
        <w:spacing w:lineRule="auto" w:line="360" w:after="200"/>
        <w:rPr/>
      </w:pPr>
      <w:r>
        <w:rPr>
          <w:rFonts w:ascii="Times New Roman" w:hAnsi="Times New Roman"/>
          <w:b w:val="0"/>
          <w:color w:val="000000"/>
          <w:sz w:val="20"/>
          <w:lang w:val="en-US"/>
        </w:rPr>
        <w:t xml:space="preserve">This document is a supplement to Dinosauria, second edition, edited by David B. Weishampel, Peter Dodson, and Halszka Osmolska (Berkeley: University of California Press, 2004). For other supplements and for more information about the book, please visit </w:t>
      </w:r>
      <w:hyperlink r:id="rId7">
        <w:r>
          <w:rPr>
            <w:rFonts w:ascii="Times New Roman" w:hAnsi="Times New Roman"/>
            <w:sz w:val="20"/>
            <w:b w:val="0"/>
            <w:color w:val="0563C1"/>
            <w:u w:val="single"/>
          </w:rPr>
          <w:t>Dinosauria supplemental materials website</w:t>
        </w:r>
      </w:hyperlink>
      <w:r>
        <w:rPr>
          <w:rFonts w:ascii="Times New Roman" w:hAnsi="Times New Roman"/>
          <w:b w:val="0"/>
          <w:color w:val="000000"/>
          <w:sz w:val="20"/>
          <w:lang w:val="en-US"/>
        </w:rPr>
        <w:t>.</w:t>
      </w:r>
    </w:p>
    <w:p>
      <w:pPr>
        <w:pStyle w:val="Header"/>
        <w:tabs>
          <w:tab w:val="clear" w:pos="4320"/>
          <w:tab w:val="clear" w:pos="8640"/>
          <w:tab w:val="left" w:pos="0" w:leader="none"/>
          <w:tab w:val="left" w:pos="543" w:leader="none"/>
          <w:tab w:val="right" w:pos="5311" w:leader="none"/>
        </w:tabs>
        <w:spacing w:lineRule="auto" w:line="360"/>
        <w:rPr/>
      </w:pPr>
      <w:r>
        <w:rPr>
          <w:rFonts w:ascii="Times New Roman" w:hAnsi="Times New Roman"/>
          <w:lang w:val="en-US"/>
        </w:rPr>
      </w:r>
    </w:p>
    <w:p>
      <w:pPr>
        <w:pStyle w:val="Header"/>
        <w:tabs>
          <w:tab w:val="clear" w:pos="4320"/>
          <w:tab w:val="clear" w:pos="8640"/>
          <w:tab w:val="left" w:pos="0" w:leader="none"/>
          <w:tab w:val="left" w:pos="543" w:leader="none"/>
          <w:tab w:val="right" w:pos="5311" w:leader="none"/>
        </w:tabs>
        <w:spacing w:lineRule="auto" w:line="360"/>
        <w:rPr/>
      </w:pPr>
      <w:r>
        <w:rPr>
          <w:rFonts w:ascii="Times New Roman" w:hAnsi="Times New Roman"/>
          <w:lang w:val="en-US"/>
        </w:rPr>
      </w:r>
    </w:p>
    <w:p>
      <w:pPr>
        <w:pStyle w:val="Heading1"/>
        <w:tabs>
          <w:tab w:val="clear" w:pos="4320"/>
          <w:tab w:val="clear" w:pos="8640"/>
          <w:tab w:val="left" w:pos="0" w:leader="none"/>
          <w:tab w:val="left" w:pos="543" w:leader="none"/>
          <w:tab w:val="right" w:pos="5311" w:leader="none"/>
        </w:tabs>
        <w:spacing w:lineRule="auto" w:line="360"/>
        <w:rPr/>
      </w:pPr>
      <w:r>
        <w:rPr>
          <w:rFonts w:ascii="Times New Roman" w:hAnsi="Times New Roman"/>
          <w:lang w:val="en-US"/>
        </w:rPr>
        <w:t>Appendix 16.1</w:t>
      </w:r>
    </w:p>
    <w:p>
      <w:pPr>
        <w:pStyle w:val="Heading2"/>
        <w:tabs>
          <w:tab w:val="clear" w:pos="720"/>
          <w:tab w:val="left" w:pos="0" w:leader="none"/>
          <w:tab w:val="left" w:pos="543" w:leader="none"/>
          <w:tab w:val="right" w:pos="5311" w:leader="none"/>
        </w:tabs>
        <w:spacing w:lineRule="auto" w:line="360"/>
        <w:rPr>
          <w:lang w:val="en-GB"/>
        </w:rPr>
      </w:pPr>
      <w:r>
        <w:rPr>
          <w:rFonts w:ascii="Times New Roman" w:hAnsi="Times New Roman"/>
          <w:lang w:val="en-US"/>
        </w:rPr>
        <w:t>Character Description</w:t>
      </w:r>
    </w:p>
    <w:p>
      <w:pPr>
        <w:pStyle w:val="Heading3"/>
        <w:tabs>
          <w:tab w:val="clear" w:pos="720"/>
          <w:tab w:val="left" w:pos="0" w:leader="none"/>
          <w:tab w:val="left" w:pos="543" w:leader="none"/>
          <w:tab w:val="right" w:pos="5311" w:leader="none"/>
        </w:tabs>
        <w:spacing w:lineRule="auto" w:line="360" w:before="0" w:after="155"/>
        <w:rPr>
          <w:lang w:val="en-GB"/>
        </w:rPr>
      </w:pPr>
      <w:r>
        <w:rPr>
          <w:rFonts w:ascii="Times New Roman" w:hAnsi="Times New Roman"/>
          <w:lang w:val="en-US"/>
        </w:rPr>
        <w:t>Stegosauria</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before="0" w:after="80"/>
        <w:rPr>
          <w:lang w:val="en-GB"/>
        </w:rPr>
        <w:keepLines w:val="0"/>
        <w:numPr>
          <w:ilvl w:val="0"/>
          <w:numId w:val="1"/>
        </w:numPr>
      </w:pPr>
      <w:r>
        <w:rPr>
          <w:rFonts w:ascii="Times New Roman" w:hAnsi="Times New Roman"/>
          <w:lang w:val="en-US"/>
        </w:rPr>
        <w:t xml:space="preserve">Subnarial portion of the premaxilla viewed in lateral projection: height:length ratio is 0.40 or more (0); has a height:length ratio of less than 0.40 (usually 0.30) (1), Sereno and Dong (1992) [modified].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before="0" w:after="80"/>
        <w:rPr>
          <w:lang w:val="en-GB"/>
        </w:rPr>
        <w:keepLines w:val="0"/>
        <w:numPr>
          <w:ilvl w:val="0"/>
          <w:numId w:val="1"/>
        </w:numPr>
      </w:pPr>
      <w:r>
        <w:rPr>
          <w:rFonts w:ascii="Times New Roman" w:hAnsi="Times New Roman"/>
          <w:lang w:val="en-US"/>
        </w:rPr>
        <w:t>Snout as a whole: deep (snout height measured at the antorbital fenestra divided by the length of the ventral rim of the maxilla is greater than 0.40) (0); shallow (snout height divided by maxilla length is less than 0.40) (1).</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before="0" w:after="80"/>
        <w:rPr>
          <w:lang w:val="en-GB"/>
        </w:rPr>
        <w:keepLines w:val="0"/>
        <w:numPr>
          <w:ilvl w:val="0"/>
          <w:numId w:val="1"/>
        </w:numPr>
      </w:pPr>
      <w:r>
        <w:rPr>
          <w:rFonts w:ascii="Times New Roman" w:hAnsi="Times New Roman"/>
          <w:lang w:val="en-US"/>
        </w:rPr>
        <w:t>Dorsal surface of parietals: is transversely arched (convex) (0); central part is flat (1), Galton (1990b).</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before="0" w:after="80"/>
        <w:rPr>
          <w:lang w:val="en-GB"/>
        </w:rPr>
        <w:keepLines w:val="0"/>
        <w:numPr>
          <w:ilvl w:val="0"/>
          <w:numId w:val="1"/>
        </w:numPr>
      </w:pPr>
      <w:r>
        <w:rPr>
          <w:rFonts w:ascii="Times New Roman" w:hAnsi="Times New Roman"/>
          <w:lang w:val="en-US"/>
        </w:rPr>
        <w:t>Flat central part of dorsal surface of parietal: narrow (0); wide (1).</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before="0" w:after="80"/>
        <w:rPr/>
        <w:keepLines w:val="0"/>
        <w:numPr>
          <w:ilvl w:val="0"/>
          <w:numId w:val="1"/>
        </w:numPr>
      </w:pPr>
      <w:r>
        <w:rPr>
          <w:rFonts w:ascii="Times New Roman" w:hAnsi="Times New Roman"/>
          <w:lang w:val="en-US"/>
        </w:rPr>
        <w:t xml:space="preserve">Trough formed by the dorsal curving of the ventral margin of the pterygoid wing of the quadrate: present (0); absent (1), Sereno and Dong (1992). Sereno (1999b) uses the reverse polarity and assigns the derived state to </w:t>
      </w:r>
      <w:r>
        <w:rPr>
          <w:rFonts w:ascii="Times New Roman" w:hAnsi="Times New Roman"/>
          <w:i/>
          <w:lang w:val="en-US"/>
        </w:rPr>
        <w:t>Huayangosaurus</w:t>
      </w:r>
      <w:r>
        <w:rPr>
          <w:rFonts w:ascii="Times New Roman" w:hAnsi="Times New Roman"/>
          <w:lang w:val="en-US"/>
        </w:rPr>
        <w:t>, and “other stegosaurs.”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before="0" w:after="80"/>
        <w:rPr>
          <w:lang w:val="en-GB"/>
        </w:rPr>
        <w:keepLines w:val="0"/>
        <w:numPr>
          <w:ilvl w:val="0"/>
          <w:numId w:val="1"/>
        </w:numPr>
      </w:pPr>
      <w:r>
        <w:rPr>
          <w:rFonts w:ascii="Times New Roman" w:hAnsi="Times New Roman"/>
          <w:lang w:val="en-US"/>
        </w:rPr>
        <w:t xml:space="preserve">Quadrate fossa/fenestra in plerygoid flange: absent (0); fossa present (1); fenestra present (2), Sereno (1986, 1999b), Sereno and Dong (1992). This character is unordered.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before="0" w:after="80"/>
        <w:rPr>
          <w:lang w:val="en-GB"/>
        </w:rPr>
        <w:keepLines w:val="0"/>
        <w:numPr>
          <w:ilvl w:val="0"/>
          <w:numId w:val="1"/>
        </w:numPr>
      </w:pPr>
      <w:r>
        <w:rPr>
          <w:rFonts w:ascii="Times New Roman" w:hAnsi="Times New Roman"/>
          <w:lang w:val="en-US"/>
        </w:rPr>
        <w:t>Quadrate proximal head: is rounded in caudal profile (0); is strongly compressed transversely with quadrangular profile (1), Sereno and Dong (1992).</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before="0" w:after="80"/>
        <w:rPr>
          <w:lang w:val="en-GB"/>
        </w:rPr>
        <w:keepLines w:val="0"/>
        <w:numPr>
          <w:ilvl w:val="0"/>
          <w:numId w:val="1"/>
        </w:numPr>
      </w:pPr>
      <w:r>
        <w:rPr>
          <w:rFonts w:ascii="Times New Roman" w:hAnsi="Times New Roman"/>
          <w:lang w:val="en-US"/>
        </w:rPr>
        <w:t>Ventral profile of the dentaries: tapers to a V-shaped apex (0); is transversely broadened to form a U-shape (1), Sereno and Dong (1992).</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before="0" w:after="80"/>
        <w:rPr/>
        <w:keepLines w:val="0"/>
        <w:numPr>
          <w:ilvl w:val="0"/>
          <w:numId w:val="1"/>
        </w:numPr>
      </w:pPr>
      <w:r>
        <w:rPr>
          <w:rFonts w:ascii="Times New Roman" w:hAnsi="Times New Roman"/>
          <w:lang w:val="en-US"/>
        </w:rPr>
        <w:t xml:space="preserve">Caudal end of dentary tooth row: exposed in lateral view (0); covered by a thin lateral lamina (1). Galton (1990b) suggested that all stegosaurs possess this derived state, but Sereno and Dong (1992) noted that the plesiomorphic state is present in </w:t>
      </w:r>
      <w:r>
        <w:rPr>
          <w:rFonts w:ascii="Times New Roman" w:hAnsi="Times New Roman"/>
          <w:i/>
          <w:lang w:val="en-US"/>
        </w:rPr>
        <w:t>Huayangosaurus</w:t>
      </w:r>
      <w:r>
        <w:rPr>
          <w:rFonts w:ascii="Times New Roman" w:hAnsi="Times New Roman"/>
          <w:lang w:val="en-US"/>
        </w:rPr>
        <w: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before="0" w:after="80"/>
        <w:rPr>
          <w:lang w:val="en-GB"/>
        </w:rPr>
        <w:keepLines w:val="0"/>
        <w:numPr>
          <w:ilvl w:val="0"/>
          <w:numId w:val="1"/>
        </w:numPr>
      </w:pPr>
      <w:r>
        <w:rPr>
          <w:rFonts w:ascii="Times New Roman" w:hAnsi="Times New Roman"/>
          <w:lang w:val="en-US"/>
        </w:rPr>
        <w:t>Teeth in premaxilla: present (0); absent (1), Galton (1990b), Sereno and Dong (1992).</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before="0" w:after="80"/>
        <w:rPr>
          <w:lang w:val="en-GB"/>
        </w:rPr>
        <w:keepLines w:val="0"/>
        <w:numPr>
          <w:ilvl w:val="0"/>
          <w:numId w:val="1"/>
        </w:numPr>
      </w:pPr>
      <w:r>
        <w:rPr>
          <w:rFonts w:ascii="Times New Roman" w:hAnsi="Times New Roman"/>
          <w:lang w:val="en-US"/>
        </w:rPr>
        <w:t>Maxillary teeth: have crowns that are not distinct from the roots or crowns that are distinct but lack a cingulum (0); have crowns with a circular cingulum at their base (1), Sereno and Dong (1992).</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before="0" w:after="80"/>
        <w:rPr>
          <w:lang w:val="en-GB"/>
        </w:rPr>
        <w:keepLines w:val="0"/>
        <w:numPr>
          <w:ilvl w:val="0"/>
          <w:numId w:val="1"/>
        </w:numPr>
      </w:pPr>
      <w:r>
        <w:rPr>
          <w:rFonts w:ascii="Times New Roman" w:hAnsi="Times New Roman"/>
          <w:lang w:val="en-US"/>
        </w:rPr>
        <w:t>Cranial dorsal neural canals: have diameters less than half of that of the centrum (0); have diameters more than half of the centrum diameter (1), Sereno and Dong (1992), Sereno (1999b).</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before="0" w:after="80"/>
        <w:rPr/>
        <w:keepLines w:val="0"/>
        <w:numPr>
          <w:ilvl w:val="0"/>
          <w:numId w:val="1"/>
        </w:numPr>
      </w:pPr>
      <w:r>
        <w:rPr>
          <w:rFonts w:ascii="Times New Roman" w:hAnsi="Times New Roman"/>
          <w:lang w:val="en-US"/>
        </w:rPr>
        <w:t xml:space="preserve">Height of dorsal neural arches: is less than 1.5 times the height of the centrum (0); is higher than 1.5 times the height of the centrum (1), Sereno (1986, 1999b), Sereno and Dong (1992). Galton (1990b) suggests that </w:t>
      </w:r>
      <w:r>
        <w:rPr>
          <w:rFonts w:ascii="Times New Roman" w:hAnsi="Times New Roman"/>
          <w:i/>
          <w:lang w:val="en-US"/>
        </w:rPr>
        <w:t>Huayangosaurus</w:t>
      </w:r>
      <w:r>
        <w:rPr>
          <w:rFonts w:ascii="Times New Roman" w:hAnsi="Times New Roman"/>
          <w:lang w:val="en-US"/>
        </w:rPr>
        <w:t xml:space="preserve"> and </w:t>
      </w:r>
      <w:r>
        <w:rPr>
          <w:rFonts w:ascii="Times New Roman" w:hAnsi="Times New Roman"/>
          <w:i/>
          <w:lang w:val="en-US"/>
        </w:rPr>
        <w:t>Dacentrurus</w:t>
      </w:r>
      <w:r>
        <w:rPr>
          <w:rFonts w:ascii="Times New Roman" w:hAnsi="Times New Roman"/>
          <w:lang w:val="en-US"/>
        </w:rPr>
        <w:t xml:space="preserve"> possess lower dorsal neural arches, but Sereno and Dong (1992) give these genera the derived state.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before="0" w:after="80"/>
        <w:rPr/>
        <w:keepLines w:val="0"/>
        <w:numPr>
          <w:ilvl w:val="0"/>
          <w:numId w:val="1"/>
        </w:numPr>
      </w:pPr>
      <w:r>
        <w:rPr>
          <w:rFonts w:ascii="Times New Roman" w:hAnsi="Times New Roman"/>
          <w:lang w:val="en-US"/>
        </w:rPr>
        <w:t>Orientation of the mid-dorsal transverse processes: the mid-dorsal transverse processes lie below 50</w:t>
      </w:r>
      <w:r>
        <w:rPr>
          <w:rFonts w:eastAsia="Symbol" w:cs="Symbol" w:ascii="Symbol" w:hAnsi="Symbol"/>
          <w:lang w:val="en-US"/>
        </w:rPr>
        <w:sym w:font="Symbol" w:char="f0b0"/>
      </w:r>
      <w:r>
        <w:rPr>
          <w:rFonts w:ascii="Times New Roman" w:hAnsi="Times New Roman"/>
          <w:lang w:val="en-US"/>
        </w:rPr>
        <w:t xml:space="preserve"> to the horizontal (0); mid-dorsal transverse processes are at 50</w:t>
      </w:r>
      <w:r>
        <w:rPr>
          <w:rFonts w:eastAsia="Symbol" w:cs="Symbol" w:ascii="Symbol" w:hAnsi="Symbol"/>
          <w:lang w:val="en-US"/>
        </w:rPr>
        <w:sym w:font="Symbol" w:char="f0b0"/>
      </w:r>
      <w:r>
        <w:rPr>
          <w:rFonts w:ascii="Times New Roman" w:hAnsi="Times New Roman"/>
          <w:lang w:val="en-US"/>
        </w:rPr>
        <w:t xml:space="preserve"> or higher above the horizontal (1), Galton (1990b), Sereno (1986, 1999b), Sereno and Dong (1992).</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before="0" w:after="80"/>
        <w:rPr>
          <w:lang w:val="en-GB"/>
        </w:rPr>
        <w:keepLines w:val="0"/>
        <w:numPr>
          <w:ilvl w:val="0"/>
          <w:numId w:val="1"/>
        </w:numPr>
      </w:pPr>
      <w:r>
        <w:rPr>
          <w:rFonts w:ascii="Times New Roman" w:hAnsi="Times New Roman"/>
          <w:lang w:val="en-US"/>
        </w:rPr>
        <w:t>Dorsal pre- and postzygapophyses: are unfused on the midline throughout all dorsals (0); are fused on the midline in middle and caudal dorsals (1), Galton (1990b).</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before="0" w:after="80"/>
        <w:rPr>
          <w:lang w:val="en-GB"/>
        </w:rPr>
        <w:keepLines w:val="0"/>
        <w:numPr>
          <w:ilvl w:val="0"/>
          <w:numId w:val="1"/>
        </w:numPr>
      </w:pPr>
      <w:r>
        <w:rPr>
          <w:rFonts w:ascii="Times New Roman" w:hAnsi="Times New Roman"/>
          <w:lang w:val="en-US"/>
        </w:rPr>
        <w:t>Dorsal pre- and postzygapophyses: are unfused on at least the cranial dorsals (0); are fused on all dorsals, including cranial ones (1), Galton (1990b).</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before="0" w:after="80"/>
        <w:rPr/>
        <w:keepLines w:val="0"/>
        <w:numPr>
          <w:ilvl w:val="0"/>
          <w:numId w:val="1"/>
        </w:numPr>
      </w:pPr>
      <w:r>
        <w:rPr>
          <w:rFonts w:ascii="Times New Roman" w:hAnsi="Times New Roman"/>
          <w:lang w:val="en-US"/>
        </w:rPr>
        <w:t xml:space="preserve">Sacral rib transverse processes: are I-shaped with widely open oval foramina between ribs in dorsal view (0); are T-shaped so that the foramina between the ribs are obliterated or reduced to small irregular openings (1), Galton (1990b), Sereno and Dong (1992), Sereno (1999b). Sereno and Dong (1992) contradict Galton's view (based on juvenile specimen) that </w:t>
      </w:r>
      <w:r>
        <w:rPr>
          <w:rFonts w:ascii="Times New Roman" w:hAnsi="Times New Roman"/>
          <w:i/>
          <w:lang w:val="en-US"/>
        </w:rPr>
        <w:t>Chungkingosaurus</w:t>
      </w:r>
      <w:r>
        <w:rPr>
          <w:rFonts w:ascii="Times New Roman" w:hAnsi="Times New Roman"/>
          <w:lang w:val="en-US"/>
        </w:rPr>
        <w:t xml:space="preserve"> has the plesiomorphic state.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before="0" w:after="80"/>
        <w:rPr>
          <w:lang w:val="en-GB"/>
        </w:rPr>
        <w:keepLines w:val="0"/>
        <w:numPr>
          <w:ilvl w:val="0"/>
          <w:numId w:val="1"/>
        </w:numPr>
      </w:pPr>
      <w:r>
        <w:rPr>
          <w:rFonts w:ascii="Times New Roman" w:hAnsi="Times New Roman"/>
          <w:lang w:val="en-US"/>
        </w:rPr>
        <w:t xml:space="preserve">Caudal ribs: are directed laterally (0); are directed strongly downward and slightly backward (1), Galton (1990b).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before="0" w:after="80"/>
        <w:rPr/>
        <w:keepLines w:val="0"/>
        <w:numPr>
          <w:ilvl w:val="0"/>
          <w:numId w:val="1"/>
        </w:numPr>
      </w:pPr>
      <w:r>
        <w:rPr>
          <w:rFonts w:ascii="Times New Roman" w:hAnsi="Times New Roman"/>
          <w:lang w:val="en-US"/>
        </w:rPr>
        <w:t xml:space="preserve">Dorsal processes at the proximal ends of the proximal caudal ribs: absent (0); present (1), Galton (1990b). </w:t>
      </w:r>
      <w:r>
        <w:rPr>
          <w:rFonts w:ascii="Times New Roman" w:hAnsi="Times New Roman"/>
          <w:i/>
          <w:lang w:val="en-US"/>
        </w:rPr>
        <w:t>Stegosaurus</w:t>
      </w:r>
      <w:r>
        <w:rPr>
          <w:rFonts w:ascii="Times New Roman" w:hAnsi="Times New Roman"/>
          <w:lang w:val="en-US"/>
        </w:rPr>
        <w:t xml:space="preserve"> may have a particularly prominent process.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before="0" w:after="80"/>
        <w:rPr>
          <w:lang w:val="en-GB"/>
        </w:rPr>
        <w:keepLines w:val="0"/>
        <w:numPr>
          <w:ilvl w:val="0"/>
          <w:numId w:val="1"/>
        </w:numPr>
      </w:pPr>
      <w:r>
        <w:rPr>
          <w:rFonts w:ascii="Times New Roman" w:hAnsi="Times New Roman"/>
          <w:lang w:val="en-US"/>
        </w:rPr>
        <w:t>Caudal transverse processes: are present in caudal 20 or more caudally (0); disappear on</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before="0" w:after="155"/>
        <w:rPr>
          <w:lang w:val="en-GB"/>
        </w:rPr>
      </w:pPr>
      <w:r>
        <w:rPr>
          <w:rFonts w:ascii="Times New Roman" w:hAnsi="Times New Roman"/>
          <w:lang w:val="en-US"/>
        </w:rPr>
        <w:t>caudal 16 or more cranially (1), Galton (1990b).</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before="0" w:after="80"/>
        <w:rPr>
          <w:lang w:val="en-GB"/>
        </w:rPr>
        <w:keepLines w:val="0"/>
        <w:numPr>
          <w:ilvl w:val="0"/>
          <w:numId w:val="1"/>
        </w:numPr>
      </w:pPr>
      <w:r>
        <w:rPr>
          <w:rFonts w:ascii="Times New Roman" w:hAnsi="Times New Roman"/>
          <w:lang w:val="en-US"/>
        </w:rPr>
        <w:t>Proximal caudal neural spine height: equals or slightly exceeds the height of the centrum (up to 1.3:1) (0); is approximately twice the height of the centrum (1), Galton (1990b).</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before="0" w:after="80"/>
        <w:rPr>
          <w:lang w:val="en-GB"/>
        </w:rPr>
        <w:keepLines w:val="0"/>
        <w:numPr>
          <w:ilvl w:val="0"/>
          <w:numId w:val="1"/>
        </w:numPr>
      </w:pPr>
      <w:r>
        <w:rPr>
          <w:rFonts w:ascii="Times New Roman" w:hAnsi="Times New Roman"/>
          <w:lang w:val="en-US"/>
        </w:rPr>
        <w:t>Top of proximal caudal neural spines: axial length greater than transverse width (0); transverse width greater than axial length (1), Galton (1990b), Sereno and Dong (1992), Sereno (1999b).</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before="0" w:after="80"/>
        <w:rPr>
          <w:lang w:val="en-GB"/>
        </w:rPr>
        <w:keepLines w:val="0"/>
        <w:numPr>
          <w:ilvl w:val="0"/>
          <w:numId w:val="1"/>
        </w:numPr>
      </w:pPr>
      <w:r>
        <w:rPr>
          <w:rFonts w:ascii="Times New Roman" w:hAnsi="Times New Roman"/>
          <w:lang w:val="en-US"/>
        </w:rPr>
        <w:t>Top of cranial neural spines in cranial view, transversely: slightly expanded compared to rest of spine (0); expanded (1), Galton (1990b).</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before="0" w:after="80"/>
        <w:rPr>
          <w:lang w:val="en-GB"/>
        </w:rPr>
        <w:keepLines w:val="0"/>
        <w:numPr>
          <w:ilvl w:val="0"/>
          <w:numId w:val="1"/>
        </w:numPr>
      </w:pPr>
      <w:r>
        <w:rPr>
          <w:rFonts w:ascii="Times New Roman" w:hAnsi="Times New Roman"/>
          <w:lang w:val="en-US"/>
        </w:rPr>
        <w:t>Length:height ratio for distal caudal centra: is 2.0 or higher (0); is 1.2 or lower (1), modified from Sereno and Dong (1992) and Sereno (1999b).</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before="0" w:after="80"/>
        <w:rPr>
          <w:lang w:val="en-GB"/>
        </w:rPr>
        <w:keepLines w:val="0"/>
        <w:numPr>
          <w:ilvl w:val="0"/>
          <w:numId w:val="1"/>
        </w:numPr>
      </w:pPr>
      <w:r>
        <w:rPr>
          <w:rFonts w:ascii="Times New Roman" w:hAnsi="Times New Roman"/>
          <w:lang w:val="en-US"/>
        </w:rPr>
        <w:t xml:space="preserve">Proximal plate of the scapula: is smaller in area than the coracoid (0); is greater in area than the coracoid (1), Galton (1990b), Sereno (1986), Sereno and Dong (1992).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before="0" w:after="80"/>
        <w:rPr/>
        <w:keepLines w:val="0"/>
        <w:numPr>
          <w:ilvl w:val="0"/>
          <w:numId w:val="1"/>
        </w:numPr>
      </w:pPr>
      <w:r>
        <w:rPr>
          <w:rFonts w:ascii="Times New Roman" w:hAnsi="Times New Roman"/>
          <w:lang w:val="en-US"/>
        </w:rPr>
        <w:t xml:space="preserve">Scapula acromion: is subtriangular in lateral view (0); is subquadrangular with a craniodorsal corner (1), Sereno (1999b). Sereno (1999b) codes </w:t>
      </w:r>
      <w:r>
        <w:rPr>
          <w:rFonts w:ascii="Times New Roman" w:hAnsi="Times New Roman"/>
          <w:i/>
          <w:lang w:val="en-US"/>
        </w:rPr>
        <w:t>Huayangosaurus</w:t>
      </w:r>
      <w:r>
        <w:rPr>
          <w:rFonts w:ascii="Times New Roman" w:hAnsi="Times New Roman"/>
          <w:lang w:val="en-US"/>
        </w:rPr>
        <w:t xml:space="preserve"> and </w:t>
      </w:r>
      <w:r>
        <w:rPr>
          <w:rFonts w:ascii="Times New Roman" w:hAnsi="Times New Roman"/>
          <w:i/>
          <w:lang w:val="en-US"/>
        </w:rPr>
        <w:t>Lexovisaurus</w:t>
      </w:r>
      <w:r>
        <w:rPr>
          <w:rFonts w:ascii="Times New Roman" w:hAnsi="Times New Roman"/>
          <w:lang w:val="en-US"/>
        </w:rPr>
        <w:t xml:space="preserve"> as possessing the derived state. However, the former should be assigned state ‘0’ (Zhou, 1984, fig. 23, pl. 8, fig. 1 pl. 12; Dong 1992, fig. 45) and the latter should be assigned state ‘?’ because there is no scapula known in </w:t>
      </w:r>
      <w:r>
        <w:rPr>
          <w:rFonts w:ascii="Times New Roman" w:hAnsi="Times New Roman"/>
          <w:i/>
          <w:lang w:val="en-US"/>
        </w:rPr>
        <w:t>Lexovisaurus</w:t>
      </w:r>
      <w:r>
        <w:rPr>
          <w:rFonts w:ascii="Times New Roman" w:hAnsi="Times New Roman"/>
          <w:lang w:val="en-US"/>
        </w:rPr>
        <w:t xml:space="preserve"> (Galton 1985f, 1990a).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before="0" w:after="80"/>
        <w:rPr/>
        <w:keepLines w:val="0"/>
        <w:numPr>
          <w:ilvl w:val="0"/>
          <w:numId w:val="1"/>
        </w:numPr>
      </w:pPr>
      <w:r>
        <w:rPr>
          <w:rFonts w:ascii="Times New Roman" w:hAnsi="Times New Roman"/>
          <w:lang w:val="en-US"/>
        </w:rPr>
        <w:t>Prominent triceps tubercle and descending ridge caudolateral to the deltopectoral crest on the humerus: absent (0); present (1), Sereno and Dong (1992), Sereno (1999</w:t>
      </w:r>
      <w:r>
        <w:rPr>
          <w:rFonts w:ascii="Times New Roman" w:hAnsi="Times New Roman"/>
          <w:i/>
          <w:lang w:val="en-US"/>
        </w:rPr>
        <w:t>b</w:t>
      </w:r>
      <w:r>
        <w:rPr>
          <w:rFonts w:ascii="Times New Roman" w:hAnsi="Times New Roman"/>
          <w:lang w:val="en-US"/>
        </w:rPr>
        <w: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before="0" w:after="80"/>
        <w:rPr>
          <w:lang w:val="en-GB"/>
        </w:rPr>
        <w:keepLines w:val="0"/>
        <w:numPr>
          <w:ilvl w:val="0"/>
          <w:numId w:val="1"/>
        </w:numPr>
      </w:pPr>
      <w:r>
        <w:rPr>
          <w:rFonts w:ascii="Times New Roman" w:hAnsi="Times New Roman"/>
          <w:lang w:val="en-US"/>
        </w:rPr>
        <w:t>Transverse width of distal end of humerus: is less than 40% of humerus length or less (0); is at least 40% of humerus width (1), Sereno (1999b) [modified].</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before="0" w:after="80"/>
        <w:rPr>
          <w:lang w:val="en-GB"/>
        </w:rPr>
        <w:keepLines w:val="0"/>
        <w:numPr>
          <w:ilvl w:val="0"/>
          <w:numId w:val="1"/>
        </w:numPr>
      </w:pPr>
      <w:r>
        <w:rPr>
          <w:rFonts w:ascii="Times New Roman" w:hAnsi="Times New Roman"/>
          <w:lang w:val="en-US"/>
        </w:rPr>
        <w:t>Radius: has a distal end which is transversely narrower than the proximal end, with a distal transverse width less than 30% radius length (0); has a distal end wider than the proximal end, with a distal transverse width greater than 38% radius length (1), Galton (1990b) [modified].</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before="0" w:after="80"/>
        <w:rPr>
          <w:lang w:val="en-GB"/>
        </w:rPr>
        <w:keepLines w:val="0"/>
        <w:numPr>
          <w:ilvl w:val="0"/>
          <w:numId w:val="1"/>
        </w:numPr>
      </w:pPr>
      <w:r>
        <w:rPr>
          <w:rFonts w:ascii="Times New Roman" w:hAnsi="Times New Roman"/>
          <w:lang w:val="en-US"/>
        </w:rPr>
        <w:t>Ulna: is slender (proximal width divided by shaft length is less than 0.40) (0); is robust (proximal width divided by shaft length is 0.40 or greater) (1), Galton (1990b).</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before="0" w:after="80"/>
        <w:rPr>
          <w:lang w:val="en-GB"/>
        </w:rPr>
        <w:keepLines w:val="0"/>
        <w:numPr>
          <w:ilvl w:val="0"/>
          <w:numId w:val="1"/>
        </w:numPr>
      </w:pPr>
      <w:r>
        <w:rPr>
          <w:rFonts w:ascii="Times New Roman" w:hAnsi="Times New Roman"/>
          <w:lang w:val="en-US"/>
        </w:rPr>
        <w:t>Humerus:ulna length ratio is: 1.2 or greater (0); is 1.05 or less (1), Galton (1985f) [modified].</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before="0" w:after="80"/>
        <w:rPr>
          <w:lang w:val="en-GB"/>
        </w:rPr>
        <w:keepLines w:val="0"/>
        <w:numPr>
          <w:ilvl w:val="0"/>
          <w:numId w:val="1"/>
        </w:numPr>
      </w:pPr>
      <w:r>
        <w:rPr>
          <w:rFonts w:ascii="Times New Roman" w:hAnsi="Times New Roman"/>
          <w:lang w:val="en-US"/>
        </w:rPr>
        <w:t>Vertical height of carpal elements: is less than one-tenth of either ulna or humerus length (0); is greater than one-tenth of either ulna or humerus length (1), Sereno and Dong (1992).</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before="0" w:after="80"/>
        <w:rPr>
          <w:lang w:val="en-GB"/>
        </w:rPr>
        <w:keepLines w:val="0"/>
        <w:numPr>
          <w:ilvl w:val="0"/>
          <w:numId w:val="1"/>
        </w:numPr>
      </w:pPr>
      <w:r>
        <w:rPr>
          <w:rFonts w:ascii="Times New Roman" w:hAnsi="Times New Roman"/>
          <w:lang w:val="en-US"/>
        </w:rPr>
        <w:t>Ulnare and intermedium: are unfused in adults (0); are fused in adults (1), Sereno and Dong (1992), Sereno (1999b).</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before="0" w:after="80"/>
        <w:rPr>
          <w:lang w:val="en-GB"/>
        </w:rPr>
        <w:keepLines w:val="0"/>
        <w:numPr>
          <w:ilvl w:val="0"/>
          <w:numId w:val="1"/>
        </w:numPr>
      </w:pPr>
      <w:r>
        <w:rPr>
          <w:rFonts w:ascii="Times New Roman" w:hAnsi="Times New Roman"/>
          <w:lang w:val="en-US"/>
        </w:rPr>
        <w:t xml:space="preserve">Proximal carpals in cranial view: are ovoid (0); are block-shaped (1), Sereno (1999b).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before="0" w:after="80"/>
        <w:rPr>
          <w:lang w:val="en-GB"/>
        </w:rPr>
        <w:keepLines w:val="0"/>
        <w:numPr>
          <w:ilvl w:val="0"/>
          <w:numId w:val="1"/>
        </w:numPr>
      </w:pPr>
      <w:r>
        <w:rPr>
          <w:rFonts w:ascii="Times New Roman" w:hAnsi="Times New Roman"/>
          <w:lang w:val="en-US"/>
        </w:rPr>
        <w:t>Distal carpals: present (0); absent (fail to ossify) (1), Sereno (1999b).</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before="0" w:after="80"/>
        <w:rPr/>
        <w:keepLines w:val="0"/>
        <w:numPr>
          <w:ilvl w:val="0"/>
          <w:numId w:val="1"/>
        </w:numPr>
      </w:pPr>
      <w:r>
        <w:rPr>
          <w:rFonts w:ascii="Times New Roman" w:hAnsi="Times New Roman"/>
          <w:lang w:val="en-US"/>
        </w:rPr>
        <w:t>Cranial process of the ilium: is directed subparallel to the sagittal plane (0); is directed at approximately 35</w:t>
      </w:r>
      <w:r>
        <w:rPr>
          <w:rFonts w:eastAsia="Symbol" w:cs="Symbol" w:ascii="Symbol" w:hAnsi="Symbol"/>
          <w:lang w:val="en-US"/>
        </w:rPr>
        <w:sym w:font="Symbol" w:char="f0b0"/>
      </w:r>
      <w:r>
        <w:rPr>
          <w:rFonts w:ascii="Times New Roman" w:hAnsi="Times New Roman"/>
          <w:lang w:val="en-US"/>
        </w:rPr>
        <w:t xml:space="preserve"> or more to the sagittal plane (1), Galton (1990b) [modified].</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before="0" w:after="80"/>
        <w:rPr>
          <w:lang w:val="en-GB"/>
        </w:rPr>
        <w:keepLines w:val="0"/>
        <w:numPr>
          <w:ilvl w:val="0"/>
          <w:numId w:val="1"/>
        </w:numPr>
      </w:pPr>
      <w:r>
        <w:rPr>
          <w:rFonts w:ascii="Times New Roman" w:hAnsi="Times New Roman"/>
          <w:lang w:val="en-US"/>
        </w:rPr>
        <w:t xml:space="preserve">Cranial process of ilium: is short and has a blunt rounded cranial end (0); is elongate and tapers toward its cranial end, forming a long slender process (1), Galton (1990b) [modified].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before="0" w:after="80"/>
        <w:rPr>
          <w:lang w:val="en-GB"/>
        </w:rPr>
        <w:keepLines w:val="0"/>
        <w:numPr>
          <w:ilvl w:val="0"/>
          <w:numId w:val="1"/>
        </w:numPr>
      </w:pPr>
      <w:r>
        <w:rPr>
          <w:rFonts w:ascii="Times New Roman" w:hAnsi="Times New Roman"/>
          <w:lang w:val="en-US"/>
        </w:rPr>
        <w:t xml:space="preserve">Antitrochanter on the ilium: is small (0); is enlarged (1), Galton (1990b).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before="0" w:after="80"/>
        <w:rPr>
          <w:lang w:val="en-GB"/>
        </w:rPr>
        <w:keepLines w:val="0"/>
        <w:numPr>
          <w:ilvl w:val="0"/>
          <w:numId w:val="1"/>
        </w:numPr>
      </w:pPr>
      <w:r>
        <w:rPr>
          <w:rFonts w:ascii="Times New Roman" w:hAnsi="Times New Roman"/>
          <w:lang w:val="en-US"/>
        </w:rPr>
        <w:t>Acetabular portion of the pubis: faces laterally, caudally and dorsally (0); is deeply cup-shaped, and faces wholly laterally (1), Sereno (1986, 1999b), Sereno and Dong (1992).</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before="0" w:after="80"/>
        <w:rPr>
          <w:lang w:val="en-GB"/>
        </w:rPr>
        <w:keepLines w:val="0"/>
        <w:numPr>
          <w:ilvl w:val="0"/>
          <w:numId w:val="1"/>
        </w:numPr>
      </w:pPr>
      <w:r>
        <w:rPr>
          <w:rFonts w:ascii="Times New Roman" w:hAnsi="Times New Roman"/>
          <w:lang w:val="en-US"/>
        </w:rPr>
        <w:t>Prepubis:pubic blade length ratio: is less than 0.40 (0); is greater than 0.40 (1), Sereno and Dong (1992). The lengths of these parts of the pubis are measured from the notch of the obturator foramen.</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before="0" w:after="80"/>
        <w:rPr>
          <w:lang w:val="en-GB"/>
        </w:rPr>
        <w:keepLines w:val="0"/>
        <w:numPr>
          <w:ilvl w:val="0"/>
          <w:numId w:val="1"/>
        </w:numPr>
      </w:pPr>
      <w:r>
        <w:rPr>
          <w:rFonts w:ascii="Times New Roman" w:hAnsi="Times New Roman"/>
          <w:lang w:val="en-US"/>
        </w:rPr>
        <w:t>Prepubis:pubic blade length ratio: is less than 0.50 (0); is greater than 0.50 (1), Sereno and Dong (1992).</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before="0" w:after="80"/>
        <w:rPr>
          <w:lang w:val="en-GB"/>
        </w:rPr>
        <w:keepLines w:val="0"/>
        <w:numPr>
          <w:ilvl w:val="0"/>
          <w:numId w:val="1"/>
        </w:numPr>
      </w:pPr>
      <w:r>
        <w:rPr>
          <w:rFonts w:ascii="Times New Roman" w:hAnsi="Times New Roman"/>
          <w:lang w:val="en-US"/>
        </w:rPr>
        <w:t>Length of pubic blade divided by acetabular diameter: is less than 1.0 (0); is at least 2.0 (1), Sereno (1999b) [modified].</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before="0" w:after="80"/>
        <w:rPr>
          <w:lang w:val="en-GB"/>
        </w:rPr>
        <w:keepLines w:val="0"/>
        <w:numPr>
          <w:ilvl w:val="0"/>
          <w:numId w:val="1"/>
        </w:numPr>
      </w:pPr>
      <w:r>
        <w:rPr>
          <w:rFonts w:ascii="Times New Roman" w:hAnsi="Times New Roman"/>
          <w:lang w:val="en-US"/>
        </w:rPr>
        <w:t>Dorsal surface of distal ischial shaft: is straight (0); has a distinct angle at approximately 75% shaft length (1), Sereno (1999b) [modified].</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before="0" w:after="80"/>
        <w:rPr>
          <w:lang w:val="en-GB"/>
        </w:rPr>
        <w:keepLines w:val="0"/>
        <w:numPr>
          <w:ilvl w:val="0"/>
          <w:numId w:val="1"/>
        </w:numPr>
      </w:pPr>
      <w:r>
        <w:rPr>
          <w:rFonts w:ascii="Times New Roman" w:hAnsi="Times New Roman"/>
          <w:lang w:val="en-US"/>
        </w:rPr>
        <w:t>Femur:humerus ratio: is 1.2 or less (0); is 1.4 or more (1), Galton (1990b), Sereno and Dong (1992), Sereno (1999b).</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before="0" w:after="80"/>
        <w:rPr>
          <w:lang w:val="en-GB"/>
        </w:rPr>
        <w:keepLines w:val="0"/>
        <w:numPr>
          <w:ilvl w:val="0"/>
          <w:numId w:val="1"/>
        </w:numPr>
      </w:pPr>
      <w:r>
        <w:rPr>
          <w:rFonts w:ascii="Times New Roman" w:hAnsi="Times New Roman"/>
          <w:lang w:val="en-US"/>
        </w:rPr>
        <w:t xml:space="preserve">Femur:humerus ratio: is 1.5 or less (0); is greater than 1.5 (1), Galton (1985f, 1990b),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before="0" w:after="80"/>
        <w:rPr>
          <w:lang w:val="en-GB"/>
        </w:rPr>
        <w:keepLines w:val="0"/>
        <w:numPr>
          <w:ilvl w:val="0"/>
          <w:numId w:val="1"/>
        </w:numPr>
      </w:pPr>
      <w:r>
        <w:rPr>
          <w:rFonts w:ascii="Times New Roman" w:hAnsi="Times New Roman"/>
          <w:lang w:val="en-US"/>
        </w:rPr>
        <w:t>Pedal digit I: present (0); absent (1), Galton (1990b), Sereno and Dong (1992), Sereno (1999b).</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before="0" w:after="80"/>
        <w:rPr>
          <w:lang w:val="en-GB"/>
        </w:rPr>
        <w:keepLines w:val="0"/>
        <w:numPr>
          <w:ilvl w:val="0"/>
          <w:numId w:val="1"/>
        </w:numPr>
      </w:pPr>
      <w:r>
        <w:rPr>
          <w:rFonts w:ascii="Times New Roman" w:hAnsi="Times New Roman"/>
          <w:lang w:val="en-US"/>
        </w:rPr>
        <w:t xml:space="preserve">Pedal digit III: has at least four phalanges (0); has no more than three phalanges (1), Sereno and Dong (1992), Sereno (1999b).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before="0" w:after="80"/>
        <w:rPr>
          <w:lang w:val="en-GB"/>
        </w:rPr>
        <w:keepLines w:val="0"/>
        <w:numPr>
          <w:ilvl w:val="0"/>
          <w:numId w:val="1"/>
        </w:numPr>
      </w:pPr>
      <w:r>
        <w:rPr>
          <w:rFonts w:ascii="Times New Roman" w:hAnsi="Times New Roman"/>
          <w:lang w:val="en-US"/>
        </w:rPr>
        <w:t>Pedal digit III: has three phalanges (0); has two phalanges (1), Galton (1990b).</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before="0" w:after="80"/>
        <w:rPr>
          <w:lang w:val="en-GB"/>
        </w:rPr>
        <w:keepLines w:val="0"/>
        <w:numPr>
          <w:ilvl w:val="0"/>
          <w:numId w:val="1"/>
        </w:numPr>
      </w:pPr>
      <w:r>
        <w:rPr>
          <w:rFonts w:ascii="Times New Roman" w:hAnsi="Times New Roman"/>
          <w:lang w:val="en-US"/>
        </w:rPr>
        <w:t>Pes digit IV: has four phalanges (0); has three phalanges (1); has two phalanges (2), Galton (1990b).</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before="0" w:after="80"/>
        <w:rPr>
          <w:lang w:val="en-GB"/>
        </w:rPr>
        <w:keepLines w:val="0"/>
        <w:numPr>
          <w:ilvl w:val="0"/>
          <w:numId w:val="1"/>
        </w:numPr>
      </w:pPr>
      <w:r>
        <w:rPr>
          <w:rFonts w:ascii="Times New Roman" w:hAnsi="Times New Roman"/>
          <w:lang w:val="en-US"/>
        </w:rPr>
        <w:t>Two parasagittal rows of plates and/or spines: absent (0); present (1), Sereno (1986, 1999b), Sereno and Dong (1992).</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before="0" w:after="80"/>
        <w:rPr>
          <w:lang w:val="en-GB"/>
        </w:rPr>
        <w:keepLines w:val="0"/>
        <w:numPr>
          <w:ilvl w:val="0"/>
          <w:numId w:val="1"/>
        </w:numPr>
      </w:pPr>
      <w:r>
        <w:rPr>
          <w:rFonts w:ascii="Times New Roman" w:hAnsi="Times New Roman"/>
          <w:lang w:val="en-US"/>
        </w:rPr>
        <w:t>Parascapular spine: absent (0); present (1), Sereno and Dong (1992), Sereno (1999b).</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before="0" w:after="80"/>
        <w:rPr>
          <w:lang w:val="en-GB"/>
        </w:rPr>
        <w:keepLines w:val="0"/>
        <w:numPr>
          <w:ilvl w:val="0"/>
          <w:numId w:val="1"/>
        </w:numPr>
      </w:pPr>
      <w:r>
        <w:rPr>
          <w:rFonts w:ascii="Times New Roman" w:hAnsi="Times New Roman"/>
          <w:lang w:val="en-US"/>
        </w:rPr>
        <w:t>Parasagittal plate structure: has a thick central portion like a modified spine (0); has a generally transversely thin structure, except at the base (1), Galton (1985f). N.B. Ancestor is given “?” because the outgroups lack plates and spines.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before="0" w:after="80"/>
        <w:rPr>
          <w:lang w:val="en-GB"/>
        </w:rPr>
        <w:keepLines w:val="0"/>
        <w:numPr>
          <w:ilvl w:val="0"/>
          <w:numId w:val="1"/>
        </w:numPr>
      </w:pPr>
      <w:r>
        <w:rPr>
          <w:rFonts w:ascii="Times New Roman" w:hAnsi="Times New Roman"/>
          <w:lang w:val="en-US"/>
        </w:rPr>
        <w:t>Lateral scute row: present (0); absent (1), Sereno and Dong (1992).</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before="0" w:after="80"/>
        <w:rPr>
          <w:lang w:val="en-GB"/>
        </w:rPr>
        <w:keepLines w:val="0"/>
        <w:numPr>
          <w:ilvl w:val="0"/>
          <w:numId w:val="1"/>
        </w:numPr>
      </w:pPr>
      <w:r>
        <w:rPr>
          <w:rFonts w:ascii="Times New Roman" w:hAnsi="Times New Roman"/>
          <w:lang w:val="en-US"/>
        </w:rPr>
        <w:t>Tail spines: are wider transversely than axially with gently convex cranial and caudal faces (0); are transversely compressed with well-defined sharp cranial and caudal margins (1), Galton (1985f). Ancestor is given “?” because the outgroups lack tail spikes. This character is unordered.</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before="0" w:after="80"/>
        <w:rPr>
          <w:lang w:val="en-GB"/>
        </w:rPr>
        <w:keepLines w:val="0"/>
        <w:numPr>
          <w:ilvl w:val="0"/>
          <w:numId w:val="1"/>
        </w:numPr>
      </w:pPr>
      <w:r>
        <w:rPr>
          <w:rFonts w:ascii="Times New Roman" w:hAnsi="Times New Roman"/>
          <w:lang w:val="en-US"/>
        </w:rPr>
        <w:t>Ossified epaxial tendons: present (0); absent (1), Sereno (1986, 1999b), Sereno and Dong (1992).</w:t>
      </w:r>
    </w:p>
    <w:p>
      <w:pPr>
        <w:pStyle w:val="Header"/>
        <w:tabs>
          <w:tab w:val="clear" w:pos="4320"/>
          <w:tab w:val="clear" w:pos="8640"/>
        </w:tabs>
        <w:spacing w:lineRule="auto" w:line="360"/>
        <w:rPr/>
      </w:pPr>
      <w:r>
        <w:rPr>
          <w:rFonts w:ascii="Times New Roman" w:hAnsi="Times New Roman"/>
          <w:lang w:val="en-US"/>
        </w:rPr>
      </w:r>
    </w:p>
    <w:sectPr>
      <w:headerReference w:type="default" r:id="rId2"/>
      <w:footerReference w:type="default" r:id="rId6"/>
      <w:type w:val="nextPage"/>
      <w:pgSz w:w="12240" w:h="15840"/>
      <w:pgMar w:left="1440" w:right="1440" w:gutter="0" w:header="504" w:top="1440" w:footer="504"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Symbol">
    <w:charset w:val="02"/>
    <w:family w:val="auto"/>
    <w:pitch w:val="variable"/>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sz w:val="18"/>
        <w:lang w:val="en-US"/>
      </w:rPr>
      <w:t xml:space="preserve">Page </w:t>
    </w:r>
    <w:fldSimple w:instr="PAGE">
      <w:r>
        <w:rPr>
          <w:sz w:val="18"/>
        </w:rPr>
        <w:t>1</w:t>
      </w:r>
    </w:fldSimple>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320"/>
        <w:tab w:val="right" w:pos="5000" w:leader="none"/>
      </w:tabs>
      <w:rPr>
        <w:sz w:val="20"/>
      </w:rPr>
    </w:pPr>
  </w:p>
</w:hdr>
</file>

<file path=word/numbering.xml><?xml version="1.0" encoding="utf-8"?>
<w:numbering xmlns:w="http://schemas.openxmlformats.org/wordprocessingml/2006/main">
  <w:abstractNum w:abstractNumId="1">
    <w:multiLevelType w:val="singleLevel"/>
    <w:lvl w:ilvl="0">
      <w:start w:val="1"/>
      <w:numFmt w:val="decimal"/>
      <w:lvlText w:val="%1."/>
      <w:suff w:val="space"/>
      <w:pPr>
        <w:tabs>
          <w:tab w:val="num" w:pos="480"/>
        </w:tabs>
        <w:ind w:left="480" w:hanging="360"/>
      </w:pPr>
    </w:lvl>
  </w:abstractNum>
  <w:num w:numId="1">
    <w:abstractNumId w:val="1"/>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w:cs="Noto Sans"/>
        <w:sz w:val="24"/>
        <w:szCs w:val="24"/>
        <w:lang w:val="en-US" w:eastAsia="en-US" w:bidi="en-US"/>
      </w:rPr>
    </w:rPrDefault>
    <w:pPrDefault>
      <w:pPr>
        <w:suppressAutoHyphens w:val="true"/>
      </w:pPr>
    </w:pPrDefault>
  </w:docDefaults>
  <w:style w:type="paragraph" w:styleId="Normal">
    <w:name w:val="Normal"/>
    <w:qFormat/>
    <w:pPr>
      <w:widowControl/>
      <w:bidi w:val="0"/>
      <w:spacing w:after="100" w:line="259" w:lineRule="auto"/>
    </w:pPr>
    <w:rPr>
      <w:rFonts w:ascii="Times New Roman" w:hAnsi="Times New Roman" w:eastAsia="Times New Roman" w:cs="Times New Roman"/>
      <w:b w:val="0"/>
      <w:color w:val="000000"/>
      <w:sz w:val="22"/>
      <w:szCs w:val="20"/>
      <w:lang w:val="en-US" w:eastAsia="zh-CN" w:bidi="hi-IN"/>
    </w:rPr>
  </w:style>
  <w:style w:type="character" w:styleId="DefaultParagraphFont">
    <w:name w:val="Default Paragraph Font"/>
    <w:qFormat/>
    <w:rPr/>
  </w:style>
  <w:style w:type="character" w:styleId="CommentReference">
    <w:name w:val="Comment Reference"/>
    <w:basedOn w:val="DefaultParagraphFont"/>
    <w:qFormat/>
    <w:rPr>
      <w:sz w:val="16"/>
    </w:rPr>
  </w:style>
  <w:style w:type="character" w:styleId="PageNumber">
    <w:name w:val="page number"/>
    <w:basedOn w:val="DefaultParagraphFont"/>
    <w:rPr/>
  </w:style>
  <w:style w:type="paragraph" w:styleId="Heading">
    <w:name w:val="Heading"/>
    <w:basedOn w:val="Normal"/>
    <w:next w:val="BodyText"/>
    <w:qFormat/>
    <w:pPr>
      <w:keepNext w:val="true"/>
      <w:spacing w:before="240" w:after="120"/>
    </w:pPr>
    <w:rPr>
      <w:rFonts w:ascii="Liberation Sans" w:hAnsi="Liberation Sans" w:eastAsia="Noto Sans"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CommentText">
    <w:name w:val="Comment Text"/>
    <w:basedOn w:val="Normal"/>
    <w:qFormat/>
    <w:pPr/>
    <w:rPr>
      <w:sz w:val="20"/>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320" w:leader="none"/>
        <w:tab w:val="right" w:pos="8640" w:leader="none"/>
      </w:tabs>
    </w:pPr>
    <w:rPr/>
  </w:style>
  <w:style w:type="paragraph" w:styleId="Footer">
    <w:name w:val="footer"/>
    <w:basedOn w:val="Normal"/>
    <w:pPr>
      <w:tabs>
        <w:tab w:val="clear" w:pos="720"/>
        <w:tab w:val="center" w:pos="4320" w:leader="none"/>
        <w:tab w:val="right" w:pos="8640" w:leader="none"/>
      </w:tabs>
    </w:pPr>
    <w:rPr/>
  </w:style>
  <w:style w:type="paragraph" w:customStyle="1" w:styleId="Heading1">
    <w:name w:val="heading 1"/>
    <w:pPr>
      <w:keepNext/>
      <w:spacing w:before="200" w:after="80"/>
    </w:pPr>
    <w:rPr>
      <w:rFonts w:ascii="Times New Roman" w:hAnsi="Times New Roman"/>
      <w:b/>
      <w:color w:val="7A1F1F"/>
      <w:sz w:val="32"/>
    </w:rPr>
  </w:style>
  <w:style w:type="paragraph" w:customStyle="1" w:styleId="Heading2">
    <w:name w:val="heading 2"/>
    <w:pPr>
      <w:keepNext/>
      <w:spacing w:before="160" w:after="60"/>
    </w:pPr>
    <w:rPr>
      <w:rFonts w:ascii="Times New Roman" w:hAnsi="Times New Roman"/>
      <w:b/>
      <w:color w:val="7A1F1F"/>
      <w:sz w:val="28"/>
    </w:rPr>
  </w:style>
  <w:style w:type="paragraph" w:customStyle="1" w:styleId="Heading3">
    <w:name w:val="heading 3"/>
    <w:pPr>
      <w:keepNext/>
      <w:spacing w:before="120" w:after="100"/>
    </w:pPr>
    <w:rPr>
      <w:rFonts w:ascii="Times New Roman" w:hAnsi="Times New Roman"/>
      <w:b/>
      <w:color w:val="7A1F1F"/>
      <w:sz w:val="24"/>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footer" Target="footer1.xml"/><Relationship Id="rId7" Type="http://schemas.openxmlformats.org/officeDocument/2006/relationships/hyperlink" Target="http://dinosauria.ucpress.edu" TargetMode="External"/><Relationship Id="rId8" Type="http://schemas.openxmlformats.org/officeDocument/2006/relationships/numbering" Target="numbering.xm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LibreOfficeDev/26.8.0.0.alpha0$Linux_X86_64 LibreOffice_project/2c87e51eeaa2b413ff4ae097b2705eea1995d8e5</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2004-11-23T15:51:00Z</dcterms:created>
  <dc:creator>Dave Weishampel</dc:creator>
  <dc:description>Accessibility-remediated edition with semantic headings, lists, and tables.</dc:description>
  <dc:language>en-US</dc:language>
  <cp:lastModifiedBy>John Connolly</cp:lastModifiedBy>
  <dcterms:modified xsi:type="dcterms:W3CDTF">2004-11-24T15:11:00Z</dcterms:modified>
  <cp:revision>3</cp:revision>
  <dc:subject>Accessible supplement to Dinosauria, second edition</dc:subject>
  <dc:title>Appendix 16.1 — Character Description — Stegosauria</dc:title>
  <cp:keywords>Dinosauria; paleontology; character descriptions; character-taxon matrix; accessible Word document</cp:keywords>
</cp:coreProperties>
</file>