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after="200"/>
        <w:rPr>
          <w:rFonts w:ascii="Times New Roman" w:hAnsi="Times New Roman" w:cs="Times New Roman"/>
        </w:rPr>
      </w:pPr>
      <w:r>
        <w:rPr>
          <w:rFonts w:ascii="Times New Roman" w:hAnsi="Times New Roman"/>
          <w:sz w:val="20"/>
          <w:lang w:val="en-US"/>
        </w:rPr>
        <w:t xml:space="preserve">This document is a supplement to Dinosauria, second edition, edited by David B. Weishampel, Peter Dodson, and Halszka Osmolska (Berkeley: University of California Press, 2004). For other supplements and for more information about the book, please visit </w:t>
      </w:r>
      <w:hyperlink r:id="rId8">
        <w:r>
          <w:rPr>
            <w:rFonts w:ascii="Times New Roman" w:hAnsi="Times New Roman"/>
            <w:sz w:val="20"/>
            <w:color w:val="0563C1"/>
            <w:u w:val="single"/>
          </w:rPr>
          <w:t>Dinosauria supplemental materials website</w:t>
        </w:r>
      </w:hyperlink>
      <w:r>
        <w:rPr>
          <w:rFonts w:ascii="Times New Roman" w:hAnsi="Times New Roman"/>
          <w:sz w:val="20"/>
          <w:lang w:val="en-US"/>
        </w:rPr>
        <w:t>.</w:t>
      </w:r>
    </w:p>
    <w:p>
      <w:pPr>
        <w:pStyle w:val="Normal"/>
        <w:spacing w:lineRule="auto" w:line="360"/>
        <w:rPr>
          <w:rFonts w:ascii="Times New Roman" w:hAnsi="Times New Roman" w:cs="Times New Roman"/>
        </w:rPr>
      </w:pPr>
      <w:r>
        <w:rPr>
          <w:rFonts w:cs="Times New Roman" w:ascii="Times New Roman" w:hAnsi="Times New Roman"/>
          <w:lang w:val="en-US"/>
        </w:rPr>
      </w:r>
    </w:p>
    <w:p>
      <w:pPr>
        <w:pStyle w:val="Normal"/>
        <w:spacing w:lineRule="auto" w:line="360"/>
        <w:rPr>
          <w:rFonts w:ascii="Times New Roman" w:hAnsi="Times New Roman" w:cs="Times New Roman"/>
        </w:rPr>
      </w:pPr>
      <w:r>
        <w:rPr>
          <w:rFonts w:cs="Times New Roman" w:ascii="Times New Roman" w:hAnsi="Times New Roman"/>
          <w:lang w:val="en-US"/>
        </w:rPr>
      </w:r>
    </w:p>
    <w:p>
      <w:pPr>
        <w:pStyle w:val="Heading1"/>
        <w:spacing w:lineRule="auto" w:line="360"/>
        <w:rPr>
          <w:rFonts w:ascii="Times New Roman" w:hAnsi="Times New Roman" w:cs="Times New Roman"/>
        </w:rPr>
      </w:pPr>
      <w:r>
        <w:rPr>
          <w:rFonts w:cs="Times New Roman" w:ascii="Times New Roman" w:hAnsi="Times New Roman"/>
          <w:lang w:val="en-US"/>
        </w:rPr>
        <w:t>Appendix 19.1</w:t>
      </w:r>
    </w:p>
    <w:p>
      <w:pPr>
        <w:pStyle w:val="Heading2"/>
        <w:spacing w:lineRule="auto" w:line="360"/>
        <w:rPr>
          <w:rFonts w:ascii="Times New Roman" w:hAnsi="Times New Roman" w:cs="Times New Roman"/>
        </w:rPr>
      </w:pPr>
      <w:r>
        <w:rPr>
          <w:rFonts w:cs="Times New Roman" w:ascii="Times New Roman" w:hAnsi="Times New Roman"/>
          <w:lang w:val="en-US"/>
        </w:rPr>
        <w:t>Character Description</w:t>
      </w:r>
    </w:p>
    <w:p>
      <w:pPr>
        <w:pStyle w:val="Heading3"/>
        <w:spacing w:lineRule="auto" w:line="360"/>
        <w:rPr>
          <w:rFonts w:ascii="Times New Roman" w:hAnsi="Times New Roman" w:cs="Times New Roman"/>
        </w:rPr>
      </w:pPr>
      <w:r>
        <w:rPr>
          <w:rFonts w:cs="Times New Roman" w:ascii="Times New Roman" w:hAnsi="Times New Roman"/>
          <w:lang w:val="en-US"/>
        </w:rPr>
        <w:t>Basal Iguanodontia</w:t>
      </w:r>
    </w:p>
    <w:p>
      <w:pPr>
        <w:pStyle w:val="Normal"/>
        <w:spacing w:lineRule="auto" w:line="360"/>
        <w:rPr>
          <w:rFonts w:ascii="Times New Roman" w:hAnsi="Times New Roman" w:cs="Times New Roman"/>
        </w:rPr>
      </w:pPr>
      <w:r>
        <w:rPr>
          <w:rFonts w:cs="Times New Roman" w:ascii="Times New Roman" w:hAnsi="Times New Roman"/>
          <w:lang w:val="en-US"/>
        </w:rPr>
        <w:t xml:space="preserve">Many of the characters used here come from Norman (1984a, 1986, 1990b), Milner and Norman (1984), Sereno (1984, 1986), Forster (1990a), Weishampel and Heinrich (1992), Coria and Salgado (1996b), and Winkler et al. (1997b) and these are noted in the following descriptions. Arguments about character polarity are also provided. </w:t>
      </w:r>
    </w:p>
    <w:p>
      <w:pPr>
        <w:pStyle w:val="Normal"/>
        <w:spacing w:lineRule="auto" w:line="360"/>
        <w:rPr>
          <w:rFonts w:ascii="Times New Roman" w:hAnsi="Times New Roman" w:cs="Times New Roman"/>
        </w:rPr>
      </w:pPr>
      <w:r>
        <w:rPr>
          <w:rFonts w:cs="Times New Roman" w:ascii="Times New Roman" w:hAnsi="Times New Roman"/>
          <w:lang w:val="en-US"/>
        </w:rPr>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Dorsal aspect of the premaxillary rostrum: narrower than frontal width (0); wider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Occlusal margin of the premaxilla not at all, or slightly, offset from the maxillary dentition (0); strongly offset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Premaxillary teeth present (0); absent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Opening of the external naris: confined to the area above the occlusal margin of the premaxilla (0); overlaps the rostral portion of the maxilla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Lateral margin of the premaxilla slightly thickened (0); reflected dorsally to form a rim on the lower edge of the external naris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Ventrolateral process of the premaxilla contacts nasal and maxilla (0); extends backward to contact the lacrimal/prefrontal and separates nasal and maxilla externally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External opening of the antorbital fenestra shape: large and subtriangular (0); reduced and subcircular (1); not exposed externally (2).</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Placement of antorbital fenestra: between lacrimal and maxilla (0); on rostrodorsal margin of the maxilla alone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Lacrimal-maxilla contact: present (0); absent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Palpebral: present (0); absent/fused to orbital margin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Rostral end of jugal: tapers to a point (0); dorsoventrally expanded (1); expanded and bluntly truncated (2).</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Jugal-maxilla suture: scarf junction (0); finger-in-recess articulation (1); large, corrugated vertical facet (2).</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Jugal morphology: straplike with little undulation to lower border (0); marked ventral deflection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Jugal-ectopterygoid articulation: present (0); absent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Frontal shape: arched and narrow (0); flat in profile (1); rostrocaudally short and broad (2).</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Frontal in orbital margin: present (0); excluded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Paraquadrate foramen: present (0); absent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Quadrate articular condyle: transversely expanded (0); narrow and subspherical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Predentary ventral lobe: median process (0); strongly bifurcate distally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Diastema: short (0); pronounced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Dentary ramus: straight (0); deflected ventrally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Dentary ramus: tapers rostrally (0); parallel dorsal and ventral borders (1); deepens rostrally (2).</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Coronoid process of dentary: oblique (0); perpendicular and fingerlike (1); expanded apex (2).</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Coronoid process position: laterally offset and dentition curves into the base (0); laterally offset and dentition separated from it by a shelf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Surangular foramen: present (0); absent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Angular visible on lateral surface of lower jaw (0); not visible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Dentary crown shape: broad and shieldlike with more than one vertical ridge (0); narrow, approximately diamond-shaped, single median vertical ridge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Dentary enamel: evenly distributed lingually and buccally (0); thin veneer bucally, thick lingually (1); exclusively found on lingual surface (2).</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Marginal denticles: tongue shaped (0); curved and mammillate edge (1); much reduced to small irregular papillae or absent (2).</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Cemented roots: not cemented (0); partially cemented (1); angular sided and rugose roots (2).</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Alveolar trough: lateral wall contains a mixture of grooves and impressions of crowns (0); narrow, parallel sided grooves only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Maxillary versus dentary crown width in lateral aspect: approximately equal (0); maxillary crowns narrower than dentary crowns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Dentary crowns broad and shieldlike (0); mesiodistally compressed and lozengelike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Maxillary crowns: equal to dentary crown width (0); narrower (1); lanceolate (2).</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Maxillary crown ridges: no clear primary ridge (0); prominent primary ridge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Occlusal surface on dentary: narrow—one tooth width (0); broad—two or more teeth in same alveolus form the occlusal surface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Replacement crowns: one (0); two (1); three or more (2).</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Dorsal neural spines: low and square (0); rectangular and height more than twice width (1); extremely elongate, height more than six times width (2).</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Sacrum: seven or fewer vertebrae (0); more than seven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Scapular blade: straight (0); curved (1); curved and flared distally (2).</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Scapular acromion: prominent boss on the cranial margin of the scapula (0); the boss is reflected laterally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Humerus:scapula length: approximately equal lengths (0); scapula longer than humerus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Sternal shape: reniform (0); hatchetlike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Carpal structure: fully ossified and blocklike (0); reduced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Metacarpal I shape: dumbbell-like (0); short and blocklike (1); absent (2).</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Metacarpals II-IV: dumbbell-like and spreading (0); closely appressed (1); appressed, slender and elongate (2).</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Manus digit I: present (0); absent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Manus ungual I: clawlike (0); conical (1); absent (2).</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Manus unguals II and III: clawlike (0); flattened, twisted and hooflike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Manus digit III: four phalanges (0); three phalanges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Preacetabular process of ilium long and laterally compressed (0); strongly downturned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Dorsal margin of iliac blade: mostly smooth edged (0); strongly notched behind the ischial peduncle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Dorsal edge of ilium above ischial peduncle: not thickened and beveled (0); thickened (1); everted with pendent tip (2).</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Ilium, postacetabular process: tapering caudally (0); low and rectangular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Pubis, prepubic process: short and blunt (0); elongate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Pubis, prepubic process: rod-shaped (0); laterally compressed, barlike (1); short constriction and distal expansion (2); deep expansion (3).</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Pubic shaft: ends adjacent to distal end of ischium (0); shorter than ischium, no pubic symphysis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Ischium, shaft shape: straight (0); arched dorsally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Ischium shaft: flattened in cross section (0); rounded in cross section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Obturator process: absent (0); present near midshaft (1); present and close to pubic peduncle (2).</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Tip of ischium: unexpanded (0); craniocaudally expansion to form a boot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Femur: distal half of shaft curved caudally (0); straight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Femoral fourth trochanter: pendent (0); triangular (1); crested eminence (2).</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Femur extensor groove: open shallow trough (0); U-shaped groove (1); partially enclosed channel (2); fully enclosed tunnel (3).</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Femur distal condyles: moderately expanded caudally (0); expanded caudally and cranially (1).</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Metatarsal I: well developed and articulates with phalanges (0); slender and splintlike (1); absent (2).</w:t>
      </w:r>
    </w:p>
    <w:p>
      <w:pPr>
        <w:pStyle w:val="Normal"/>
        <w:spacing w:lineRule="auto" w:line="360" w:after="80"/>
        <w:rPr>
          <w:rFonts w:ascii="Times New Roman" w:hAnsi="Times New Roman" w:cs="Times New Roman"/>
        </w:rPr>
        <w:numPr>
          <w:ilvl w:val="0"/>
          <w:numId w:val="3"/>
        </w:numPr>
      </w:pPr>
      <w:r>
        <w:rPr>
          <w:rFonts w:cs="Times New Roman" w:ascii="Times New Roman" w:hAnsi="Times New Roman"/>
          <w:lang w:val="en-US"/>
        </w:rPr>
        <w:t>Pedal unguals: elongate and pointed claws (0); elongate but bluntly truncated (1); short, broad and crescentic with reduced or absent claw grooves (2).</w:t>
      </w:r>
    </w:p>
    <w:sectPr>
      <w:headerReference w:type="default" r:id="rId2"/>
      <w:footerReference w:type="default" r:id="rId7"/>
      <w:type w:val="nextPage"/>
      <w:pgSz w:w="12240" w:h="15840"/>
      <w:pgMar w:left="1224" w:right="1224" w:gutter="0" w:header="432" w:top="1008" w:footer="432" w:bottom="93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w:altName w:val="Times New Roman"/>
    <w:charset w:val="00"/>
    <w:family w:val="auto"/>
    <w:pitch w:val="variable"/>
  </w:font>
  <w:font w:name="Liberation Sans">
    <w:altName w:val="Arial"/>
    <w:charset w:val="01"/>
    <w:family w:val="swiss"/>
    <w:pitch w:val="variable"/>
  </w:font>
  <w:font w:name="Book Antiqua">
    <w:charset w:val="00"/>
    <w:family w:val="roman"/>
    <w:pitch w:val="variable"/>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18"/>
        <w:lang w:val="en-US"/>
      </w:rPr>
      <w:t xml:space="preserve">Page </w:t>
    </w:r>
    <w:fldSimple w:instr="PAGE">
      <w:r>
        <w:rPr>
          <w:sz w:val="18"/>
        </w:rPr>
        <w:t>1</w:t>
      </w:r>
    </w:fldSimple>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right" w:pos="5400" w:leader="none"/>
      </w:tabs>
      <w:rPr>
        <w:rFonts w:ascii="Times New Roman" w:hAnsi="Times New Roman" w:cs="Times New Roman"/>
        <w:sz w:val="20"/>
        <w:lang w:val="en-US"/>
      </w:rPr>
    </w:pP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360"/>
        </w:tabs>
        <w:ind w:start="36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abstractNum w:abstractNumId="3">
    <w:multiLevelType w:val="singleLevel"/>
    <w:lvl w:ilvl="0">
      <w:start w:val="1"/>
      <w:numFmt w:val="decimal"/>
      <w:lvlText w:val="%1."/>
      <w:suff w:val="space"/>
      <w:pPr>
        <w:ind w:left="480" w:hanging="360"/>
      </w:pPr>
    </w:lvl>
  </w:abstractNum>
  <w:num w:numId="3">
    <w:abstractNumId w:val="3"/>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w:sz w:val="24"/>
        <w:szCs w:val="24"/>
        <w:lang w:val="en-US" w:eastAsia="en-US" w:bidi="en-US"/>
      </w:rPr>
    </w:rPrDefault>
    <w:pPrDefault>
      <w:pPr>
        <w:suppressAutoHyphens w:val="true"/>
      </w:pPr>
    </w:pPrDefault>
  </w:docDefaults>
  <w:style w:type="paragraph" w:styleId="Normal">
    <w:name w:val="Normal"/>
    <w:qFormat/>
    <w:pPr>
      <w:widowControl/>
      <w:bidi w:val="0"/>
      <w:spacing w:after="100" w:line="259" w:lineRule="auto"/>
    </w:pPr>
    <w:rPr>
      <w:rFonts w:ascii="Times New Roman" w:hAnsi="Times New Roman" w:eastAsia="Times" w:cs="Times"/>
      <w:b w:val="0"/>
      <w:color w:val="000000"/>
      <w:sz w:val="22"/>
      <w:szCs w:val="20"/>
      <w:lang w:val="en-GB" w:eastAsia="zh-CN" w:bidi="hi-IN"/>
    </w:rPr>
  </w:style>
  <w:style w:type="character" w:styleId="WW8Num1z0">
    <w:name w:val="WW8Num1z0"/>
    <w:qFormat/>
    <w:rPr/>
  </w:style>
  <w:style w:type="character" w:styleId="DefaultParagraphFont">
    <w:name w:val="Default Paragraph Font"/>
    <w:qFormat/>
    <w:rPr/>
  </w:style>
  <w:style w:type="character" w:styleId="CommentReference">
    <w:name w:val="Comment Reference"/>
    <w:basedOn w:val="DefaultParagraphFont"/>
    <w:qFormat/>
    <w:rPr>
      <w:sz w:val="16"/>
    </w:rPr>
  </w:style>
  <w:style w:type="character" w:styleId="PageNumber">
    <w:name w:val="page number"/>
    <w:basedOn w:val="DefaultParagraphFont"/>
    <w:rPr/>
  </w:style>
  <w:style w:type="paragraph" w:styleId="Heading">
    <w:name w:val="Heading"/>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EnvelopeAddress">
    <w:name w:val="envelope address"/>
    <w:basedOn w:val="Normal"/>
    <w:pPr>
      <w:ind w:hanging="0" w:start="2880" w:end="0"/>
    </w:pPr>
    <w:rPr>
      <w:rFonts w:ascii="Book Antiqua" w:hAnsi="Book Antiqua" w:cs="Book Antiqua"/>
      <w:sz w:val="22"/>
    </w:rPr>
  </w:style>
  <w:style w:type="paragraph" w:styleId="CommentText">
    <w:name w:val="Comment Text"/>
    <w:basedOn w:val="Normal"/>
    <w:qFormat/>
    <w:pPr/>
    <w:rPr>
      <w:sz w:val="20"/>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numbering" w:styleId="WW8Num1">
    <w:name w:val="WW8Num1"/>
    <w:qFormat/>
  </w:style>
  <w:style w:type="paragraph" w:customStyle="1" w:styleId="Heading1">
    <w:name w:val="heading 1"/>
    <w:pPr>
      <w:keepNext/>
      <w:spacing w:before="200" w:after="80"/>
    </w:pPr>
    <w:rPr>
      <w:rFonts w:ascii="Times New Roman" w:hAnsi="Times New Roman"/>
      <w:b/>
      <w:color w:val="7A1F1F"/>
      <w:sz w:val="32"/>
    </w:rPr>
  </w:style>
  <w:style w:type="paragraph" w:customStyle="1" w:styleId="Heading2">
    <w:name w:val="heading 2"/>
    <w:pPr>
      <w:keepNext/>
      <w:spacing w:before="160" w:after="60"/>
    </w:pPr>
    <w:rPr>
      <w:rFonts w:ascii="Times New Roman" w:hAnsi="Times New Roman"/>
      <w:b/>
      <w:color w:val="7A1F1F"/>
      <w:sz w:val="28"/>
    </w:rPr>
  </w:style>
  <w:style w:type="paragraph" w:customStyle="1" w:styleId="Heading3">
    <w:name w:val="heading 3"/>
    <w:pPr>
      <w:keepNext/>
      <w:spacing w:before="120" w:after="120"/>
    </w:pPr>
    <w:rPr>
      <w:rFonts w:ascii="Times New Roman" w:hAnsi="Times New Roman"/>
      <w:b/>
      <w:color w:val="7A1F1F"/>
      <w:sz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footer" Target="footer1.xml"/><Relationship Id="rId8" Type="http://schemas.openxmlformats.org/officeDocument/2006/relationships/hyperlink" Target="http://dinosauria.ucpress.edu" TargetMode="Externa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LibreOfficeDev/26.8.0.0.alpha0$Linux_X86_64 LibreOffice_project/2c87e51eeaa2b413ff4ae097b2705eea1995d8e5</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2004-11-23T15:46:00Z</dcterms:created>
  <dc:creator>David Norman</dc:creator>
  <dc:description>Accessibility-remediated edition with semantic headings, lists, tables, links, and document metadata.</dc:description>
  <dc:language>en-US</dc:language>
  <cp:lastModifiedBy>John Connolly</cp:lastModifiedBy>
  <dcterms:modified xsi:type="dcterms:W3CDTF">2004-11-24T15:14:00Z</dcterms:modified>
  <cp:revision>3</cp:revision>
  <dc:subject>Accessible supplement to Dinosauria, second edition</dc:subject>
  <dc:title>Appendix 19.1 — Character Description — Basal Iguanodontia</dc:title>
  <cp:keywords>Dinosauria; paleontology; character descriptions; character-taxon matrix; biogeography; accessible Word document</cp:keywords>
</cp:coreProperties>
</file>