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4320"/>
          <w:tab w:val="clear" w:pos="8640"/>
        </w:tabs>
        <w:spacing w:lineRule="auto" w:line="360" w:after="200"/>
        <w:rPr>
          <w:rFonts w:ascii="Times New Roman" w:hAnsi="Times New Roman" w:cs="Times New Roman"/>
        </w:rPr>
      </w:pPr>
      <w:r>
        <w:rPr>
          <w:rFonts w:ascii="Times New Roman" w:hAnsi="Times New Roman"/>
          <w:sz w:val="20"/>
          <w:lang w:val="en-US"/>
        </w:rPr>
        <w:t xml:space="preserve">This document is a supplement to Dinosauria, second edition, edited by David B. Weishampel, Peter Dodson, and Halszka Osmolska (Berkeley: University of California Press, 2004). For other supplements and for more information about the book, please visit </w:t>
      </w:r>
      <w:hyperlink r:id="rId7">
        <w:r>
          <w:rPr>
            <w:rFonts w:ascii="Times New Roman" w:hAnsi="Times New Roman"/>
            <w:sz w:val="20"/>
            <w:color w:val="0563C1"/>
            <w:u w:val="single"/>
          </w:rPr>
          <w:t>Dinosauria supplemental materials website</w:t>
        </w:r>
      </w:hyperlink>
      <w:r>
        <w:rPr>
          <w:rFonts w:ascii="Times New Roman" w:hAnsi="Times New Roman"/>
          <w:sz w:val="20"/>
          <w:lang w:val="en-US"/>
        </w:rPr>
        <w:t>.</w:t>
      </w:r>
    </w:p>
    <w:p>
      <w:pPr>
        <w:pStyle w:val="Header"/>
        <w:tabs>
          <w:tab w:val="clear" w:pos="4320"/>
          <w:tab w:val="clear" w:pos="8640"/>
        </w:tabs>
        <w:spacing w:lineRule="auto" w:line="360"/>
        <w:rPr>
          <w:rFonts w:ascii="Times New Roman" w:hAnsi="Times New Roman" w:cs="Times New Roman"/>
        </w:rPr>
      </w:pPr>
      <w:r>
        <w:rPr>
          <w:rFonts w:cs="Times New Roman" w:ascii="Times New Roman" w:hAnsi="Times New Roman"/>
          <w:lang w:val="en-US"/>
        </w:rPr>
      </w:r>
    </w:p>
    <w:p>
      <w:pPr>
        <w:pStyle w:val="Header"/>
        <w:tabs>
          <w:tab w:val="clear" w:pos="4320"/>
          <w:tab w:val="clear" w:pos="8640"/>
        </w:tabs>
        <w:spacing w:lineRule="auto" w:line="360"/>
        <w:rPr>
          <w:rFonts w:ascii="Times New Roman" w:hAnsi="Times New Roman" w:cs="Times New Roman"/>
        </w:rPr>
      </w:pPr>
      <w:r>
        <w:rPr>
          <w:rFonts w:cs="Times New Roman" w:ascii="Times New Roman" w:hAnsi="Times New Roman"/>
          <w:lang w:val="en-US"/>
        </w:rPr>
      </w:r>
    </w:p>
    <w:p>
      <w:pPr>
        <w:pStyle w:val="Heading1"/>
        <w:tabs>
          <w:tab w:val="clear" w:pos="4320"/>
          <w:tab w:val="clear" w:pos="8640"/>
        </w:tabs>
        <w:spacing w:lineRule="auto" w:line="360"/>
        <w:rPr>
          <w:rFonts w:ascii="Times New Roman" w:hAnsi="Times New Roman" w:cs="Times New Roman"/>
        </w:rPr>
      </w:pPr>
      <w:r>
        <w:rPr>
          <w:rFonts w:cs="Times New Roman" w:ascii="Times New Roman" w:hAnsi="Times New Roman"/>
          <w:lang w:val="en-US"/>
        </w:rPr>
        <w:t>Appendix 20.1</w:t>
      </w:r>
    </w:p>
    <w:p>
      <w:pPr>
        <w:pStyle w:val="Heading2"/>
        <w:spacing w:lineRule="auto" w:line="360"/>
        <w:rPr>
          <w:rFonts w:ascii="Times New Roman" w:hAnsi="Times New Roman" w:cs="Times New Roman"/>
        </w:rPr>
      </w:pPr>
      <w:r>
        <w:rPr>
          <w:rFonts w:cs="Times New Roman" w:ascii="Times New Roman" w:hAnsi="Times New Roman"/>
          <w:lang w:val="en-US"/>
        </w:rPr>
        <w:t>Character Description</w:t>
      </w:r>
    </w:p>
    <w:p>
      <w:pPr>
        <w:pStyle w:val="Heading3"/>
        <w:spacing w:lineRule="auto" w:line="360"/>
        <w:rPr>
          <w:rFonts w:ascii="Times New Roman" w:hAnsi="Times New Roman" w:cs="Times New Roman"/>
          <w:i/>
        </w:rPr>
      </w:pPr>
      <w:r>
        <w:rPr>
          <w:rFonts w:cs="Times New Roman" w:ascii="Times New Roman" w:hAnsi="Times New Roman"/>
          <w:lang w:val="en-US"/>
        </w:rPr>
        <w:t>Hadrosauridae</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Number of tooth positions in maxillary and dentary tooth rows: 30 or fewer (0); 34–40 (1); 42–45 (2); 47 or more (3).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Number of replacement teeth per tooth position: one or two (0); three or more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Number of functional teeth per tooth position: one (0); at least two, and often three, teeth in the vertical series contribute to the occlusal surface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Maxillary tooth crown length:width ratio at center of tooth row: broad relative to length, ratio less than 2.4:1 (0); elongate and lanceolate, ratio at least 2.5:1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Dentary tooth crown length:width proportions at center of tooth row: broad, ratio of 2.9:1 or less (0); elongate, ratio of 3.2–3.8:1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Dentary teeth, ornamentation on lingual surface: numerous subsidiary ridges present (0); only one or two subsidiary ridges present, located mesial and distal to primary carina (1); loss of all but primary carina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Maxillary teeth, ornamentation on labial surface: subsidiary ridges present (0); loss of all but primary carina (1).</w:t>
      </w:r>
    </w:p>
    <w:p>
      <w:pPr>
        <w:pStyle w:val="Normal"/>
        <w:spacing w:lineRule="auto" w:line="360" w:after="80"/>
        <w:rPr/>
        <w:numPr>
          <w:ilvl w:val="0"/>
          <w:numId w:val="1"/>
        </w:numPr>
      </w:pPr>
      <w:r>
        <w:rPr>
          <w:rFonts w:cs="Times New Roman" w:ascii="Times New Roman" w:hAnsi="Times New Roman"/>
          <w:lang w:val="en-US"/>
        </w:rPr>
        <w:t>Teeth, position of apex: offset to either mesial or distal side, tooth curved distally (0); central, tooth straight and nearly symmetrical (1).</w:t>
      </w:r>
      <w:r>
        <w:rPr>
          <w:rFonts w:cs="Times New Roman" w:ascii="Times New Roman" w:hAnsi="Times New Roman"/>
          <w:i/>
          <w:lang w:val="en-US"/>
        </w:rPr>
        <w:t xml:space="preserve">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Dentary, length of diastema between first dentary tooth and predentary: short, no more than width of four or five teeth (0); long, equal to approximately one-fifth to one-fourth length of tooth row (1); extremely long, equal to approximately one third of tooth row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Dentary tooth row, caudal extent of tooth row relative to apex of coronoid process: tooth row terminates even with or rostral to apex (0); tooth row terminates caudal to apex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Dentary, orientation of dentary rostral to tooth row: moderately downturned, dorsal margin of predentary rests above ventral margin of dentary body (0); strikingly downturned, dorsal margin of rostral dentary extends below the ventral margin of dentary body, premaxillary bill margin extends well below level of maxillary tooth row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Dentary tooth row, shape in occlusal view: bowed lingually, curves in toward coronoid process (0); straight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Predentary shape: deep and robust, arcuate rostral margin, neurovascular foramina large and located near midline of predentary body, dorsally directed spikelike denticles on rostral margin that fit into slots on underside of premaxilla (0); gracile and shovel-shaped, straight to gently rounded rostral margin, numerous nutrient foramina across entire rostral margin, loss of spikelike denticles and gain of rounded, triangular denticles that project rostrally and fit into a continuous transverse slot on underside of premaxilla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Predentary triturating surface, orientation: horizontal, oral margin of premaxilla rests on dorsal predentary (0); canted dorsolaterally to form a nearly vertical surface, oral margin of premaxilla broadly overlaps lateral surface of predentary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Angular size: large, deep, exposed in lateral view below the surangular (0); small, dorsoventrally narrow, exposed only in medial view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Coronoid bone: present (0);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Coronoid process configuration: apex only slightly expanded rostrally, surangular large and forms much of caudal margin of coronoid process (0); dentary forms nearly all of greatly rostrocaudally expanded apex, surangular reduced to thin sliver along caudal margin and does not reach to the distal end of the coronoid process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Caudal extent of the caudoventral dentary: ends even with or rostral to apex of coronoid process (0); caudally expanded to terminate well behind the coronoid process (1).</w:t>
      </w:r>
    </w:p>
    <w:p>
      <w:pPr>
        <w:pStyle w:val="Normal"/>
        <w:spacing w:lineRule="auto" w:line="360" w:after="80"/>
        <w:rPr/>
        <w:numPr>
          <w:ilvl w:val="0"/>
          <w:numId w:val="1"/>
        </w:numPr>
      </w:pPr>
      <w:r>
        <w:rPr>
          <w:rFonts w:cs="Times New Roman" w:ascii="Times New Roman" w:hAnsi="Times New Roman"/>
          <w:lang w:val="en-US"/>
        </w:rPr>
        <w:t>Surangular foramen: present (0); absent (1).</w:t>
      </w:r>
      <w:r>
        <w:rPr>
          <w:rFonts w:cs="Times New Roman" w:ascii="Times New Roman" w:hAnsi="Times New Roman"/>
          <w:i/>
          <w:lang w:val="en-US"/>
        </w:rPr>
        <w:t xml:space="preserve">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Premaxilla, width at oral margin: narrow, expanded laterally less than twice width at narrowest point (postoral constriction), margin oriented nearly vertically (0); expanded transversely to more than twice postoral width but not more than interorbital width, margin flared laterally into a more horizontal orientation (1); further expanded transversely to width subequal to that across jugal arches (2).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 undercut (“reflected”) rim around oral margin: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Premaxillary rostral bill margin shape: horseshoe-shaped, forms a continuous semicircle that curves smoothly to postoral constriction (0); broadly arcuate across rostral margin, constricts abruptly behind the oral margin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Premaxillary foramen ventral to rostral margin of external nares that opens onto the palate: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 accessory foramen entering premaxilla in outer narial fossa, located rostral to premaxillary foramen: absent (0); present, empties into common chamber with premaxillary foramen, then onto the palate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Premaxillae, oral margin with a “double layer” morphology consisting of an external denticle-bearing layer seen externally and an internal palatal layer of thickened bone set back slightly from the oral margin and separated from the denticulate layer by a deep sulcus bearing vascular foramina: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 outer (accessory) narial fossa rostral to circumnarial fossa: absent (0); present, separated from circumnarial fossa by a strong ridge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Premaxillary caudal processes (PM1, PM2) and construction of nasal passages: caudodorsal premaxillary process short, caudodorsal and caudoventral processes do not meet caudal to external nares, nasal passages not enclosed ventrally, rostral nasal passage roofed by the nasal, external nares exposed in lateral view (0); caudoventral and caudodorsal processes elongate and join behind external opening of narial passages to exclude nasals, nasal passages completely enclosed by tubular premaxillae, left nasal passage divided from right passage, external nares not exposed in lateral view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External nares length:basal skull length ratio: 20% or less (0); 30% or more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External nares, composition of caudalmost apex: formed entirely by nasal (0); formed equally by nasal (dorsally) and premaxilla (ventrally)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Supraoccipital, ventral margin: bowed or expanded ventrally along midline (0); horizontal, strong ridge developed along supraoccipital-exoccipital suture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Circumnarial fossa, caudal margin: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Circumnarial fossa, caudal margin morphology: absent (0); present, lightly incised into nasals and premaxilla, often poorly demarcated (1); present, well demarcated, deeply incised, and usually invaginated (2).</w:t>
      </w:r>
    </w:p>
    <w:p>
      <w:pPr>
        <w:pStyle w:val="Normal"/>
        <w:spacing w:lineRule="auto" w:line="360" w:after="80"/>
        <w:rPr/>
        <w:numPr>
          <w:ilvl w:val="0"/>
          <w:numId w:val="1"/>
        </w:numPr>
      </w:pPr>
      <w:r>
        <w:rPr>
          <w:rFonts w:cs="Times New Roman" w:ascii="Times New Roman" w:hAnsi="Times New Roman"/>
          <w:lang w:val="en-US"/>
        </w:rPr>
        <w:t>Nasals and rostrodorsal premaxilla in adults: flat, restricted to area rostral to braincase, cavum</w:t>
      </w:r>
      <w:r>
        <w:rPr>
          <w:rFonts w:cs="Times New Roman" w:ascii="Times New Roman" w:hAnsi="Times New Roman"/>
          <w:i/>
          <w:lang w:val="en-US"/>
        </w:rPr>
        <w:t xml:space="preserve"> </w:t>
      </w:r>
      <w:r>
        <w:rPr>
          <w:rFonts w:cs="Times New Roman" w:ascii="Times New Roman" w:hAnsi="Times New Roman"/>
          <w:lang w:val="en-US"/>
        </w:rPr>
        <w:t>nasi small (0); premaxilla extended caudally and nasals retracted caudally to lie over braincase in adults resulting in a convoluted, complex narial passage and hollow crest, cavum nasi enlarged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Hollow nasal crest, nasal-caudodorsal process of premaxilla (PM1) contact: absent (0); present, rostral end of nasal fits along ventral edge of premaxilla (1); present, premaxilla and nasal meet in a complex, W-shaped interfingering suture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Hollow nasal crest, relative shape of the two lobes of caudoventral process of premaxilla (PM2): absent (0); present, rostral lobe higher that caudal lobe (1); present, caudal lobe higher than rostral lobe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Hollow nasal crest, shape: absent (0); present, tubular and elongate (1); present, raised into a large, vertical fan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Hollow nasal crest, composition of caudal margin of crest: absent (0); present, composed of premaxilla caudodorsal process (PM1) (1); present, composed of nasal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Solid nasal crest over snout or braincase (does not house a portion of the nasal passage):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Solid nasal crest, association with caudal margin of circumnarial fossa: absent (0); solid crest present but circumnarial fossa does not excavate side of crest, fossa terminates rostral to solid crest (1); solid crest present, excavated laterally by circumnarial fossa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Solid nasal crest, composition: absent (0); solid crest present, composed of nasals (1); solid crest present, composed of frontals and nasals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External nares, shape of caudal margin: lunate (0); V-shaped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Maxilla, rostrodorsal process: has a separate rostral process that extends medial to the caudoventral process of premaxilla to form part of medial floor of external naris (0); rostral process absent, rostrodorsal margin of maxilla forms a sloping shelf that underlies the premaxilla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Antorbital fenestra, external opening: present (0);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Maxillary foramen, location: opens on rostrolateral body of maxilla, exposed in lateral view (0); opens on dorsal maxilla along maxilla-premaxilla suture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Maxilla-lacrimal contact: present (0); lost or covered due to jugal-premaxilla contact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Maxilla-jugal contact: restricted to fingerlike jugal process on caudal margin of maxilla (0); jugal process of maxilla reduced to a short projection but retaining a distinct facet (1); jugal process of maxilla lost, rostral jugal has an extensive vertical contact with maxilla rostral to orbit (2).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Maxilla, location of apex in lateral exposure: well caudal to center (0); at or rostral to center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Maxilla, shape of apex in lateral exposure: tall and sharply peaked (0); low and gently rounded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Prefrontal shape at rostrodorsal orbit rim: prefrontal lies flush with surrounding elements (0); prefrontal flares dorsolaterally to form a thin, everted, winglike rim around rostrodorsal orbit margin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Prefrontal, shape: smoothly curved laterally (0); rostrally broad with square rostromedial corner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Ectopterygoid-jugal contact: present (0); absent, palatine-jugal contact enhanced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Jugal, expansion of rostral end below lacrimal: dorsoventrally narrow, forms little of the rostral orbital rim (0); expanded dorsoventrally in front of orbit, lacrimal pushed dorsally to lie completely above the level of the maxilla, jugal forms lower portion of orbital rim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Jugal, shape of rostral end: with distinct rostrally pointed process fitting between the maxilla and lacrimal (0); point truncated, smoothly rounded rostral margin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Jugal, rostrally pointed process: absent (0); present, process restricted to dorsal portion of jugal, rostral jugal appears asymmetrical (1); present, process centered on rostral jugal, rostral jugal appears symmetrically triangular in shape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Jugal, development of free ventral flange: absent, jugal expands gradually below intrafenestra to meet the quadratojugal-quadrate (0); present, jugal dorsoventrally constricted beneath intratemporal fenestra to set off flange rostral to constriction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Jugal flange size, ratio of depth of jugal at constriction below intratemporal fenestra to length of free ventral flange on jugal: small, 0.70–0.90 (0); prominent, well set off from body of jugal, 0.55–0.66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Frontal at orbit margin: forms part of margin (0); excluded by prefrontal-postorbital contact (1).</w:t>
      </w:r>
    </w:p>
    <w:p>
      <w:pPr>
        <w:pStyle w:val="Normal"/>
        <w:spacing w:lineRule="auto" w:line="360" w:after="80"/>
        <w:rPr>
          <w:rFonts w:ascii="Times New Roman" w:hAnsi="Times New Roman" w:cs="Times New Roman"/>
          <w:b/>
        </w:rPr>
        <w:numPr>
          <w:ilvl w:val="0"/>
          <w:numId w:val="1"/>
        </w:numPr>
      </w:pPr>
      <w:r>
        <w:rPr>
          <w:rFonts w:cs="Times New Roman" w:ascii="Times New Roman" w:hAnsi="Times New Roman"/>
          <w:lang w:val="en-US"/>
        </w:rPr>
        <w:t>Frontals, upward doming over braincase in adults: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Supraorbital articulation: freely articulate on orbit rim (0); fused to orbit rim or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Quadrates, shape of mandibular condyle: mediolaterally broad, lateral and medial condyles subequal in size (0); lateral condyle expanded rostrocaudally so that condyles appear subtriangular in distal view, lateral condyle longer than medial one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Paraquadrate notch: ventral margin of notch extends dorsally to form an acute and well-defined opening (0); well-defined notch absent, reduced to a poorly defined embayment of quadrate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Paroccipital process and accompanying squamosal, orientation: straight and ventrally directed (0); curved rostrally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Squamosals on skull roof, separation: widely separated (0); squamosals approach midline, separated by narrow band of parietal (1); squamosals have broad contact with each other (2).</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Squamosal, shape of caudoventral surface: shallowly exposed in caudal view (0); form a deep, near vertical, well-exposed face in caudal view (1).</w:t>
      </w:r>
    </w:p>
    <w:p>
      <w:pPr>
        <w:pStyle w:val="Normal"/>
        <w:spacing w:lineRule="auto" w:line="360" w:after="80"/>
        <w:rPr/>
        <w:numPr>
          <w:ilvl w:val="0"/>
          <w:numId w:val="1"/>
        </w:numPr>
      </w:pPr>
      <w:r>
        <w:rPr>
          <w:rFonts w:cs="Times New Roman" w:ascii="Times New Roman" w:hAnsi="Times New Roman"/>
          <w:lang w:val="en-US"/>
        </w:rPr>
        <w:t>Supraoccipital, inclination: caudal surface nearly vertical (0); caudal surface inclined steeply forward at approximately 45</w:t>
      </w:r>
      <w:r>
        <w:rPr>
          <w:rFonts w:eastAsia="Symbol" w:cs="Symbol" w:ascii="Symbol" w:hAnsi="Symbol"/>
          <w:lang w:val="en-US"/>
        </w:rPr>
        <w:sym w:font="Symbol" w:char="f0b0"/>
      </w:r>
      <w:r>
        <w:rPr>
          <w:rFonts w:cs="Times New Roman" w:ascii="Times New Roman" w:hAnsi="Times New Roman"/>
          <w:lang w:val="en-US"/>
        </w:rPr>
        <w:t xml:space="preserv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Supraoccipital-exoccipital contact: straight suture that meets squamosal (0); ventrolateral corner of supraoccipital inset into exoccipital so that supraoccipital is “locked” between exoccipitals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Transverse width of the cranium in the postorbital region in dorsal view: broad, width maintained from orbit to quadrate head (0); distinctly narrowed at quadrate heads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Occiput shape in caudal view: square (0); triangular, narrow dorsally, distal quadrates splay distinctly laterally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Parietal, midline ridge: straight to slightly downwarped along length (0); strongly downwarped, dorsal margin bends below the level of the postorbital-squamosal bar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Parietal crest, length: long, caudal parietal narrow quickly to form the crest, crest more than half the length of supratemporal fenestrae (0); short, parietal crest narrows gradually caudally, crest less than half the length of the supratemporal fenestrae(1).</w:t>
      </w:r>
    </w:p>
    <w:p>
      <w:pPr>
        <w:pStyle w:val="Normal"/>
        <w:spacing w:lineRule="auto" w:line="360" w:after="80"/>
        <w:rPr>
          <w:rFonts w:ascii="Times New Roman" w:hAnsi="Times New Roman" w:cs="Times New Roman"/>
          <w:i/>
        </w:rPr>
        <w:numPr>
          <w:ilvl w:val="0"/>
          <w:numId w:val="1"/>
        </w:numPr>
      </w:pPr>
      <w:r>
        <w:rPr>
          <w:rFonts w:cs="Times New Roman" w:ascii="Times New Roman" w:hAnsi="Times New Roman"/>
          <w:lang w:val="en-US"/>
        </w:rPr>
        <w:t>Infratemporal fenestra, acute angle between postorbital bar and jugular bar: absent (0); present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Cervical vertebrae, number: 11 or fewer (0); 12 to 15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Cervical centra axial length: long (0); shortened so that axial length of centrum is less than height of neural arch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Cervicals, shape of zygaphophyseal peduncles on arches: low (0); elevated, extend well above the level of the neural canal, zygapophyses long and dorsally arched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Sacral vertebrae, number: seven or less (0); eight or more (1).</w:t>
      </w:r>
    </w:p>
    <w:p>
      <w:pPr>
        <w:pStyle w:val="Normal"/>
        <w:spacing w:lineRule="auto" w:line="360" w:after="80"/>
        <w:rPr>
          <w:rFonts w:ascii="Times New Roman" w:hAnsi="Times New Roman" w:cs="Times New Roman"/>
          <w:i/>
        </w:rPr>
        <w:numPr>
          <w:ilvl w:val="0"/>
          <w:numId w:val="1"/>
        </w:numPr>
      </w:pPr>
      <w:r>
        <w:rPr>
          <w:rFonts w:cs="Times New Roman" w:ascii="Times New Roman" w:hAnsi="Times New Roman"/>
          <w:lang w:val="en-US"/>
        </w:rPr>
        <w:t>Dorsal (caudal) and sacral neural spines: short, less than three times centrum height (0); elongate, more than three times centrum height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Coracoid size: large, coracoid:scapula lengths more than 0.2, length of articular surface greater than length of glenoid (0); coracoid reduced in length relative to scapula, glenoid longer than articulation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Coracoid, shape of cranial margin: straight or convex, biceps tubercle small (0); concave, large, laterally projecting biceps tubercle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Coracoid, cranioventral process: short (0); long, extends well below the glenoid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Scapula, shape of proximal end: dorsoventrally deep, acromion process directed dorsally, articulation extensive (0); dorsoventrally narrow (no wider than distal scapula), acromion process projects horizontally, cranioventral corner notched, articulation restricted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Scapula, orientation of borders of distal blade: divergent (0); subparallel to one another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Scapula, shape of distal end: asymmetrical, either dorsal or ventral border longer than the other (0); symmetrical, dorsal and ventral border terminate at same point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Deltopectoral crest: short, much less than half the length of the humerus, narrows noticeably distally (0); extends at least to midshaft or longer, distally broad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Humeral distal condyles: mediolaterally broad, flare moderately from shaft of humerus (0); compressed mediolaterally, flares little from shaft of humerus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Antebrachium length: humerus subequal to or longer than radius (0); radius longer than humerus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Carpus: all elements present (ulnare, radiale, intermedium, distal carpals) and fused, metacarpal I fused onto carpus and divergent from rest of manus (0); reduced to two small, unfused carpals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Manus, digit 1: metacarpal and one phalanx present (0); entire digit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Metacarpal III, relative position of proximal end: aligned with those of MC II and IV (0); offset distally relative to MC II and IV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Metacarpal, shape: short and robust, width at midshaft:length ratio 0.2 or greater (0); slender and elongate, width at midshaft:length 0.15 or less (1).</w:t>
      </w:r>
    </w:p>
    <w:p>
      <w:pPr>
        <w:pStyle w:val="Normal"/>
        <w:spacing w:lineRule="auto" w:line="360" w:after="80"/>
        <w:rPr>
          <w:rFonts w:ascii="Times New Roman" w:hAnsi="Times New Roman" w:cs="Times New Roman"/>
          <w:i/>
        </w:rPr>
        <w:numPr>
          <w:ilvl w:val="0"/>
          <w:numId w:val="1"/>
        </w:numPr>
      </w:pPr>
      <w:r>
        <w:rPr>
          <w:rFonts w:cs="Times New Roman" w:ascii="Times New Roman" w:hAnsi="Times New Roman"/>
          <w:lang w:val="en-US"/>
        </w:rPr>
        <w:t>Penultimate phalanges of digits II and III, shape: rectangular, lateral sides subequal in length (0); wedge-shaped, medial side significantly shorter than lateral side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Ilium, size of supracetabular process: small, projects only as a lateral swelling (0); large, broadly overhangs the lateral side of the ilium and usually extends at least half way down the side of ilium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Ilium-pubis articulation: large iliac contribution, pubic peduncle of ilium long, iliac peduncle of pubis small (0); pubic process of ilium short with restricted articular surface, prominent dorsally directed iliac peduncle of pubis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Ilium, postacetabular process shape: tapers caudally to nearly a point, wide brevis shelf (0); rectangular, no brevis shelf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Ilium, postacetabular process size relative to total length of ilium: less than 40 % (0); more than 40%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Pubis, distal width of prepubic process: dorsoventrally expanded to no more than twice the depth of the proximal shaft (0); expanded to more than twice the depth of proximal shaft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Pubis, length of prepubic process constriction: long, dorsoventral expansion restricted to distal process (0); shaft short, dorsoventral expansion begins at base of process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Pubis, obturator foramen: closed or partially closed ventrally by tubercle arising from pubic shaft (0); fully open, tubercle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Ischium, shape of shaft in lateral view: strongly curved downward (0); nearly straight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Ischium, shape of distal end: small knoblike foot (0); large and pendent foot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 xml:space="preserve">Ilium, shape of dorsal margin: nearly straight (0); distinctly depressed over supracetabular process and dorsally bowed over base of preacetabular process (1). </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Femur, development of intercondylar extensor groove: moderately deep, groove fully open (0); deep, edges of groove meet or nearly meet cranially to enclose an extensor tunnel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Tarsus, distal tarsals 2 and 3: present (0);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Metatarsal I, length: short, thin splint (0); absent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Pes, distal phalanges of pedal digits II through IV: axially shortened to disclike elements with width at least three times length (0); greatly shortened, width at least four times length (1).</w:t>
      </w:r>
    </w:p>
    <w:p>
      <w:pPr>
        <w:pStyle w:val="Normal"/>
        <w:spacing w:lineRule="auto" w:line="360" w:after="80"/>
        <w:rPr>
          <w:rFonts w:ascii="Times New Roman" w:hAnsi="Times New Roman" w:cs="Times New Roman"/>
        </w:rPr>
        <w:numPr>
          <w:ilvl w:val="0"/>
          <w:numId w:val="1"/>
        </w:numPr>
      </w:pPr>
      <w:r>
        <w:rPr>
          <w:rFonts w:cs="Times New Roman" w:ascii="Times New Roman" w:hAnsi="Times New Roman"/>
          <w:lang w:val="en-US"/>
        </w:rPr>
        <w:t>Pes, shape of unguals: taper evenly distally, clawlike (0); dorsoventrally flattened and broadened, hooflike (1).</w:t>
      </w:r>
    </w:p>
    <w:sectPr>
      <w:headerReference w:type="default" r:id="rId2"/>
      <w:footerReference w:type="default" r:id="rId6"/>
      <w:type w:val="nextPage"/>
      <w:pgSz w:w="12240" w:h="15840"/>
      <w:pgMar w:left="1224" w:right="1224" w:gutter="0" w:header="432" w:top="1008" w:footer="432" w:bottom="9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alatino">
    <w:charset w:val="00"/>
    <w:family w:val="auto"/>
    <w:pitch w:val="variable"/>
  </w:font>
  <w:font w:name="Liberation Sans">
    <w:altName w:val="Arial"/>
    <w:charset w:val="01"/>
    <w:family w:val="swiss"/>
    <w:pitch w:val="variable"/>
  </w:font>
  <w:font w:name="Symbol">
    <w:charset w:val="02"/>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5400" w:leader="none"/>
      </w:tabs>
      <w:rPr>
        <w:rFonts w:ascii="Times New Roman" w:hAnsi="Times New Roman" w:cs="Times New Roman"/>
        <w:sz w:val="20"/>
      </w:rPr>
    </w:pPr>
  </w:p>
  <w:p>
    <w:pPr>
      <w:pStyle w:val="Normal"/>
      <w:rPr/>
    </w:pPr>
  </w:p>
</w:hdr>
</file>

<file path=word/numbering.xml><?xml version="1.0" encoding="utf-8"?>
<w:numbering xmlns:w="http://schemas.openxmlformats.org/wordprocessingml/2006/main">
  <w:abstractNum w:abstractNumId="1">
    <w:multiLevelType w:val="singleLevel"/>
    <w:lvl w:ilvl="0">
      <w:start w:val="1"/>
      <w:numFmt w:val="decimal"/>
      <w:lvlText w:val="%1."/>
      <w:suff w:val="space"/>
      <w:pPr>
        <w:ind w:left="480" w:hanging="360"/>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compat>
    <w:usePrinterMetric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Palatino"/>
      <w:b w:val="0"/>
      <w:color w:val="000000"/>
      <w:sz w:val="22"/>
      <w:szCs w:val="20"/>
      <w:lang w:val="en-US" w:eastAsia="zh-CN" w:bidi="hi-IN"/>
    </w:rPr>
  </w:style>
  <w:style w:type="character" w:styleId="DefaultParagraphFont">
    <w:name w:val="Default Paragraph Font"/>
    <w:qFormat/>
    <w:rPr/>
  </w:style>
  <w:style w:type="character" w:styleId="PageNumber">
    <w:name w:val="page number"/>
    <w:basedOn w:val="DefaultParagraphFon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ommentText">
    <w:name w:val="Comment Text"/>
    <w:basedOn w:val="Normal"/>
    <w:qFormat/>
    <w:pPr/>
    <w:rPr>
      <w:sz w:val="20"/>
    </w:rPr>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2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footer" Target="footer1.xml"/><Relationship Id="rId7" Type="http://schemas.openxmlformats.org/officeDocument/2006/relationships/hyperlink" Target="http://dinosauria.ucpress.edu" TargetMode="External"/><Relationship Id="rId8"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2004-11-23T15:45:00Z</dcterms:created>
  <dc:creator>Jim Clark</dc:creator>
  <dc:description>Accessibility-remediated edition with semantic headings, lists, tables, links, and document metadata.</dc:description>
  <dc:language>en-US</dc:language>
  <cp:lastModifiedBy>John Connolly</cp:lastModifiedBy>
  <cp:lastPrinted>2001-04-26T10:53:00Z</cp:lastPrinted>
  <dcterms:modified xsi:type="dcterms:W3CDTF">2004-11-24T15:14:00Z</dcterms:modified>
  <cp:revision>3</cp:revision>
  <dc:subject>Accessible supplement to Dinosauria, second edition</dc:subject>
  <dc:title>Appendix 20.1 — Character Description — Hadrosauridae</dc:title>
  <cp:keywords>Dinosauria; paleontology; character descriptions; character-taxon matrix; biogeography; accessible Word document</cp:keywords>
</cp:coreProperties>
</file>