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after="200"/>
        <w:ind w:hanging="0" w:start="0"/>
        <w:rPr>
          <w:b w:val="false"/>
        </w:rPr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8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Normal"/>
        <w:spacing w:lineRule="auto" w:line="360"/>
        <w:ind w:hanging="0" w:start="0"/>
        <w:rPr>
          <w:b w:val="false"/>
        </w:rPr>
      </w:pPr>
      <w:r>
        <w:rPr>
          <w:rFonts w:ascii="Times New Roman" w:hAnsi="Times New Roman"/>
          <w:b w:val="false"/>
          <w:lang w:val="en-US"/>
        </w:rPr>
      </w:r>
    </w:p>
    <w:p>
      <w:pPr>
        <w:pStyle w:val="Normal"/>
        <w:spacing w:lineRule="auto" w:line="360"/>
        <w:ind w:hanging="0" w:start="0"/>
        <w:rPr>
          <w:b w:val="false"/>
        </w:rPr>
      </w:pPr>
      <w:r>
        <w:rPr>
          <w:rFonts w:ascii="Times New Roman" w:hAnsi="Times New Roman"/>
          <w:b w:val="false"/>
          <w:lang w:val="en-US"/>
        </w:rPr>
      </w:r>
    </w:p>
    <w:p>
      <w:pPr>
        <w:pStyle w:val="Heading1"/>
        <w:spacing w:lineRule="auto" w:line="360"/>
        <w:ind w:hanging="0" w:start="0"/>
        <w:rPr>
          <w:b w:val="false"/>
        </w:rPr>
      </w:pPr>
      <w:r>
        <w:rPr>
          <w:rFonts w:ascii="Times New Roman" w:hAnsi="Times New Roman"/>
          <w:b w:val="false"/>
          <w:lang w:val="en-US"/>
        </w:rPr>
        <w:t>Appendix 23.1</w:t>
      </w:r>
    </w:p>
    <w:p>
      <w:pPr>
        <w:pStyle w:val="Heading2"/>
        <w:spacing w:lineRule="auto" w:line="360"/>
        <w:ind w:hanging="0" w:start="0"/>
        <w:jc w:val="start"/>
        <w:rPr>
          <w:b w:val="false"/>
        </w:rPr>
      </w:pPr>
      <w:r>
        <w:rPr>
          <w:rFonts w:ascii="Times New Roman" w:hAnsi="Times New Roman"/>
          <w:b w:val="false"/>
          <w:lang w:val="en-US"/>
        </w:rPr>
        <w:t>Character Description</w:t>
      </w:r>
    </w:p>
    <w:p>
      <w:pPr>
        <w:pStyle w:val="Heading3"/>
        <w:spacing w:lineRule="auto" w:line="360"/>
        <w:ind w:hanging="0" w:start="0"/>
        <w:jc w:val="start"/>
        <w:rPr>
          <w:b w:val="false"/>
        </w:rPr>
      </w:pPr>
      <w:r>
        <w:rPr>
          <w:rFonts w:ascii="Times New Roman" w:hAnsi="Times New Roman"/>
          <w:b w:val="false"/>
          <w:lang w:val="en-US"/>
        </w:rPr>
        <w:t>Ceratopsidae</w:t>
      </w:r>
    </w:p>
    <w:p>
      <w:pPr>
        <w:pStyle w:val="Normal"/>
        <w:spacing w:lineRule="auto" w:line="360"/>
        <w:rPr>
          <w:b/>
        </w:rPr>
      </w:pPr>
      <w:r>
        <w:rPr>
          <w:rFonts w:ascii="Times New Roman" w:hAnsi="Times New Roman"/>
          <w:b/>
          <w:lang w:val="en-US"/>
        </w:rPr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Rostral, size and shape: triangular in lateral view with short dorsal and ventral processes (0); enlarged with deeply concave caudal margin and hypertrophied dorsal and ventral processes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External naris, size and position: small, restricted to dorsal one-third of snout (0); large, expanded to occupy most of the depth of the snout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b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Premaxillary septum: absent (0); present, rostral premaxillae lie directly on one another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Premaxillary septum, shape: subcircular (0); rostrally elongate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Premaxilla, thickened narial strut along caudal margin of the premaxillary septum: absent (0); present (1), Forster et al. (1993).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narial strut orientation: rostrally inclined (0); caudally inclined (1), Forster et al. (1993).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Premaxilla, bony flange on caudal margin of narial strut: absent (0); present (1), Forster et al. (1993).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interpremaxillary fossa perforating premaxillary septum: absent (0); present (1), Forster (1996a).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recess in ventral portion of septum: absent (0); present (1), Forster et al. (1993).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Premaxilla, size of recess in septum: small, slight in-pocketing along ventral aspect of septal fossa (0); large, deeply recessed into premaxilla (1), Forster et al. (1993).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premaxillary (narial) process extending into the external naris from the caudoventral margin of the premaxillary septum: absent (0); present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recess on lateral surface of the premaxillary (narial) process: absent (0); present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ventral expansion of the caudoventral oral margin: absent, caudoventral oral margin of premaxilla level with alveolar margin of the maxilla (0); present, expanded ventrally to extend well below alveolar margin of the maxilla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caudal tip of caudoventral process inserts into an embayment in the nasal and is surrounded by the nasal: present (0); absent (1), Forster et al. (1993).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Premaxilla, forked distal end of caudoventral process: absent (0); present (1), Forster et al. (1993).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External antorbital fenestra, size : large, 20% or more length of body of maxilla (0); greatly reduced to less than 10% length of body of maxilla, or absent (1), Granger and Gregory (1923), Chinnery and Weishampel (1998).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Nasal, ornamentation: absent (0); horncore (1); pachyostotic boss (2), Sampson (1995).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Nasal, ornamentation position: centered caudal or caudodorsal to internal naris (0); shifted forward, centered dorsal or rostrodorsal to endonaris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Nasal, horncore length: small, length of horncore less than 15% basal skull length (0); moderate to large, length of horncore 20% or more of basal skull length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Lacrimal, size: large, forms 50% or more of the rostral orbital margin (0); small, forms 40% or less of the rostral orbital margin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Postorbital, supraorbital ornamentation: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Postorbital, supraorbital ornamentation: horncore (0) rugose boss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Postorbital, position of supraorbital ornamentation: centered rostrodorsal or dorsal to orbit (0); centered caudodorsal or caudal to orbit (1), Lehman (1996).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Postorbital, length of supraorbital horncore: elongate, greater than 35% basal skull length (0); short, less than 15% basal skull length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Postorbital, curvature of supraorbital horncore in adults: caudally recurved (0); straight or rostrally curved (1), Forster et al. (1993).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Prefrontal-prefrontal contact: absent (0); present (1), Lambe (1915), Forster (1990), Sampson (1995).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Jugal infratemporal flange: absent (0); present, contacts jugal process of squamosal below the infratemporal fenestra (1), Brown and Schlaikjer (1940b),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Quadratojugal, position of contact with jugal and quadrate: jugal, quadratojugal, quadrate contact in a rostral to caudal order (0); jugal, quadratojugal, quadrate contact in a lateral to medial order (1), Forster (1990).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b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Supracranial cavity complex: absent (0); present, supracranial cavities narrow and shallow, do not underlie supraorbital ornamentation (1); present, supracranial cavities broad, underlie supraorbital ornamentation and may be confluent with extensive cornual sinuses (2), Brown and Schlaikjer (1940b), Forster (1990), Sampson (1995), Forster (1996a).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Frontal, contribution to orbital margin: present (0); absent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Frontal fontanelle, shape: rostrocaudally long and uniformly narrow transversely (0); key-hole shaped with a broad rostal half (1); broadly oval to circular (2), Forster (1996a).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Parietosquamosal frill, length relative to basal skull length: elongate, 0.80 or more (0); shortened, 0.70 or less (1), Hatcher et al. (1907), Lehman (1990).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Parietosquamosal frill, marginal undulations: absent (0); present (1), Gilmore (1917).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Parietal, imbrication effect on lateral margin of frill in adults: absent (0); present (1), Sampson et al. (1997).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Squamosal, length relative to parietal: equal or subequal in length (0); squamosal much shorter than parietal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Squamosal, rostromedial lamina forming the caudolateral floor of dorsotemporal fossa: absent (0); present (1), Dodson (1986).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Squamosal-quadrate contact: socketlike cotylus on squamosal for ball-like quadrate head (0); elongate groove on squamosal to receive lamina of quadrate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Parietal fenestra, orientation: long axis directed transversely (0); long axis directed axially (1), Forster (1990).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 fenestra, maximum proximodistal diameter: 40% or less total parietal length (0); 45% or more total parietal length (1), adapted from Forster et al. (1993).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Parietal, accessory fenestra medial to the rostral end of the infratemporal fenestra: absent (0); present (1), Hatcher et al. (1907), Forster (1996b).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Parietal, median bar: narrow and straplike, width less than .05 total parietal length (0); wide, 0.15 or more total parietal length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Epoccipitals on parietal and squamosal: absent (0); present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Epoccipital crossing squamosal-parietal contact: absent (0); present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Epoccipitals, pattern of fusion to frill margin: occurs from rostral to caudal (0); occurs from caudal to rostral (1), Lehman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Squamosal epoccipital, shape: crescentic or ellipsoidal (0); triangular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 epoccipitals, number per side: one to three (0); six to eight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 epoccipital, most median epoccipital (locus 1) developed into a curved process with pronounced external sulci and ridges: absent (0); present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 epoccipital, orientation at locus 1 relative to parietal: dorsal to rostrally directed (0); caudally directed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 epoccipital, locus 2 developed into a curved process, with pronounced external sulci and ridges: absent (0); present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Parietal epoccipital, orientation at locus 2: caudally directed from and perpendicular to parietal margin (0); medially directed, come off the parietal at an angle (0).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i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>Parietal epoccipital, locus 3 modified into a large hornlike process: absent (0); present (1).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Basioccipital, contribution to occipital condyle: large, forms more than one-third of condyle (0); reduced, forms ventral one-third of condyle only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Frontal, contribution to exit for c.n. I: present (0); absent, enclosed entirely by ossifications of the interorbital septum (1),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Supraoccipital, contribution to foramen magnum: present (0); absent, eliminated from margin by exoccipital-exoccipital contact on midline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Exoccipital, number of exits for c.nn. X, XI, XII: three (0); two (1), Brown and Schlaikjer (1940b),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Lower jaw, level of articulation with quadrate: same as occlusal surface of tooth row (0); substantially ventral to tooth row (1), Ostrom (1964a),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Predentary, orientation of triturating surface: nearly horizontal (0); inclined steeply laterally (1), Lehman (1990), Forster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Dentary, caudal extent of tooth row: terminates medial to the coronoid process (0); terminates caudal to the coronoid process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Dentary, shape of the coronoid process: low, with gently convex apex and no neck (0); high, expanded into a rostrally projecting hook at apex, constricted neck present (1), Lull (1933).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Tooth, number of roots: one (0); two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Tooth vertical replacement series: one or two replacement teeth (0); more than two replacement teeth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Tooth ornamentation: subsidiary ridges present, extend from margin to base of tooth (0); subsidiary ridges reduced, present only at margin of teeth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Atlas, neural arch orientation: nearly vertical (0); steeply inclined caudally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Sacrum, number of fused vertebrae: eight or less (0); ten or more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Sacrum, deep longitudinal channel on ventral surface: present (0); absent (1), Lambe (1915), Lehman (1990).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Sternum, shape: elongate and narrow (0); short and broad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  <w:u w:val="single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Manual and pedal unguals, shape: clawlike (0); hooflike (1), Brown (1914, Chinnery and Weishampel (1998).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Ilium, laterally everted shelf on dorsal margin: absent (0); present (1), Hatcher et al. (1907).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Ilium, supracetabular process on dorsal margin over caudal part of acetabulum: absent (0); present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Ischium, cross-sectional shape of shaft: ovoid (0); laterally compressed and bladelike, narrow along dorsal margin (1).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Ischium, orientation of shaft: nearly straight (0); slightly decurved (1); broadly and continuously curved (2),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Femur, coalescence of greater and cranial trochanters: absent (0); present (1), Brown and Schlaikjer (1940b). </w:t>
      </w:r>
    </w:p>
    <w:p>
      <w:pPr>
        <w:pStyle w:val="Normal"/>
        <w:spacing w:lineRule="auto" w:line="360" w:after="80"/>
        <w:rPr>
          <w:rFonts w:ascii="Times New Roman" w:hAnsi="Times New Roman" w:cs="Times New Roman"/>
        </w:rPr>
        <w:numPr>
          <w:ilvl w:val="0"/>
          <w:numId w:val="2"/>
        </w:numPr>
      </w:pPr>
      <w:r>
        <w:rPr>
          <w:rFonts w:cs="Times New Roman" w:ascii="Times New Roman" w:hAnsi="Times New Roman"/>
          <w:lang w:val="en-US"/>
        </w:rPr>
        <w:t xml:space="preserve">Femur-tibia proportion: tibia longer than femur (0); femur longer than tibia (1), Brown and Schlaikjer (1940b).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</w:r>
    </w:p>
    <w:sectPr>
      <w:headerReference w:type="default" r:id="rId2"/>
      <w:footerReference w:type="default" r:id="rId7"/>
      <w:type w:val="nextPage"/>
      <w:pgSz w:w="12240" w:h="15840"/>
      <w:pgMar w:left="1224" w:right="1224" w:gutter="0" w:header="432" w:top="1008" w:footer="432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alatino">
    <w:charset w:val="00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320"/>
        <w:tab w:val="right" w:pos="5400" w:leader="none"/>
      </w:tabs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abstractNum w:abstractNumId="2">
    <w:multiLevelType w:val="singleLevel"/>
    <w:lvl w:ilvl="0">
      <w:start w:val="1"/>
      <w:numFmt w:val="decimal"/>
      <w:lvlText w:val="%1."/>
      <w:suff w:val="space"/>
      <w:pPr>
        <w:ind w:left="480" w:hanging="360"/>
      </w:pPr>
    </w:lvl>
  </w:abstract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sePrinterMetric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Palatino"/>
      <w:b w:val="0"/>
      <w:color w:val="000000"/>
      <w:sz w:val="22"/>
      <w:szCs w:val="20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/>
      <w:numPr>
        <w:ilvl w:val="0"/>
        <w:numId w:val="1"/>
      </w:numPr>
      <w:spacing w:lineRule="auto" w:line="480" w:before="200" w:after="80"/>
      <w:outlineLvl w:val="0"/>
    </w:pPr>
    <w:rPr>
      <w:rFonts w:ascii="Times New Roman" w:hAnsi="Times New Roman" w:cs="Times New Roman"/>
      <w:b/>
      <w:color w:val="7A1F1F"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lineRule="auto" w:line="480" w:before="160" w:after="60"/>
      <w:jc w:val="center"/>
      <w:outlineLvl w:val="1"/>
    </w:pPr>
    <w:rPr>
      <w:rFonts w:ascii="Times New Roman" w:hAnsi="Times New Roman" w:cs="Times New Roman"/>
      <w:b/>
      <w:color w:val="7A1F1F"/>
      <w:sz w:val="28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mmentText">
    <w:name w:val="Comment Text"/>
    <w:basedOn w:val="Normal"/>
    <w:qFormat/>
    <w:pPr/>
    <w:rPr>
      <w:sz w:val="20"/>
    </w:rPr>
  </w:style>
  <w:style w:type="paragraph" w:customStyle="1" w:styleId="Heading3">
    <w:name w:val="heading 3"/>
    <w:pPr>
      <w:keepNext/>
      <w:spacing w:before="120" w:after="120"/>
    </w:pPr>
    <w:rPr>
      <w:rFonts w:ascii="Times New Roman" w:hAnsi="Times New Roman"/>
      <w:b/>
      <w:color w:val="7A1F1F"/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footer" Target="footer1.xml"/><Relationship Id="rId8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2004-11-23T15:41:00Z</dcterms:created>
  <dc:creator>Scott D. Sampson</dc:creator>
  <dc:description>Accessibility-remediated edition with semantic headings, lists, tables, links, and document metadata.</dc:description>
  <dc:language>en-US</dc:language>
  <cp:lastModifiedBy>John Connolly</cp:lastModifiedBy>
  <cp:lastPrinted>2000-06-23T13:18:00Z</cp:lastPrinted>
  <dcterms:modified xsi:type="dcterms:W3CDTF">2004-11-24T15:15:00Z</dcterms:modified>
  <cp:revision>3</cp:revision>
  <dc:subject>Accessible supplement to Dinosauria, second edition</dc:subject>
  <dc:title>Appendix 23.1 — Character Description — Ceratopsidae</dc:title>
  <cp:keywords>Dinosauria; paleontology; character descriptions; character-taxon matrix; biogeography; accessible Word document</cp:keywords>
</cp:coreProperties>
</file>