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er"/>
        <w:tabs>
          <w:tab w:val="clear" w:pos="4320"/>
          <w:tab w:val="clear" w:pos="8640"/>
        </w:tabs>
        <w:spacing w:lineRule="auto" w:line="360" w:after="200"/>
        <w:rPr>
          <w:rFonts w:ascii="Times New Roman" w:hAnsi="Times New Roman" w:cs="Times New Roman"/>
        </w:rPr>
      </w:pPr>
      <w:r>
        <w:rPr>
          <w:rFonts w:cs="Times New Roman" w:ascii="Times New Roman" w:hAnsi="Times New Roman"/>
          <w:sz w:val="20"/>
          <w:lang w:val="en-US"/>
        </w:rPr>
        <w:t>This document is a supplement to Dinosauria, second edition, edited by David B. Weishampel, Peter Dodson, and Halszka Osmolska (Berkeley: University of California Press, 2004). For other supplements and for more information about the book, please visit http://dinosauria.ucpress.edu.</w:t>
      </w:r>
    </w:p>
    <w:p>
      <w:pPr>
        <w:pStyle w:val="Header"/>
        <w:tabs>
          <w:tab w:val="clear" w:pos="4320"/>
          <w:tab w:val="clear" w:pos="8640"/>
        </w:tabs>
        <w:spacing w:lineRule="auto" w:line="360"/>
        <w:rPr>
          <w:rFonts w:ascii="Times New Roman" w:hAnsi="Times New Roman" w:cs="Times New Roman"/>
        </w:rPr>
      </w:pPr>
      <w:r>
        <w:rPr>
          <w:rFonts w:cs="Times New Roman" w:ascii="Times New Roman" w:hAnsi="Times New Roman"/>
          <w:lang w:val="en-US"/>
        </w:rPr>
      </w:r>
    </w:p>
    <w:p>
      <w:pPr>
        <w:pStyle w:val="Header"/>
        <w:tabs>
          <w:tab w:val="clear" w:pos="4320"/>
          <w:tab w:val="clear" w:pos="8640"/>
        </w:tabs>
        <w:spacing w:lineRule="auto" w:line="360"/>
        <w:rPr>
          <w:rFonts w:ascii="Times New Roman" w:hAnsi="Times New Roman" w:cs="Times New Roman"/>
        </w:rPr>
      </w:pPr>
      <w:r>
        <w:rPr>
          <w:rFonts w:cs="Times New Roman" w:ascii="Times New Roman" w:hAnsi="Times New Roman"/>
          <w:lang w:val="en-US"/>
        </w:rPr>
      </w:r>
    </w:p>
    <w:p>
      <w:pPr>
        <w:pStyle w:val="Heading1"/>
        <w:tabs>
          <w:tab w:val="clear" w:pos="4320"/>
          <w:tab w:val="clear" w:pos="8640"/>
        </w:tabs>
        <w:spacing w:lineRule="auto" w:line="360"/>
        <w:rPr>
          <w:rFonts w:ascii="Times New Roman" w:hAnsi="Times New Roman" w:cs="Times New Roman"/>
        </w:rPr>
      </w:pPr>
      <w:r>
        <w:rPr>
          <w:rFonts w:cs="Times New Roman" w:ascii="Times New Roman" w:hAnsi="Times New Roman"/>
          <w:lang w:val="en-US"/>
        </w:rPr>
        <w:t>Appendix 3.1</w:t>
      </w:r>
    </w:p>
    <w:p>
      <w:pPr>
        <w:pStyle w:val="Heading2"/>
        <w:spacing w:lineRule="auto" w:line="360"/>
        <w:rPr>
          <w:rFonts w:ascii="Times New Roman" w:hAnsi="Times New Roman" w:cs="Times New Roman"/>
        </w:rPr>
      </w:pPr>
      <w:r>
        <w:rPr>
          <w:rFonts w:cs="Times New Roman" w:ascii="Times New Roman" w:hAnsi="Times New Roman"/>
          <w:lang w:val="en-US"/>
        </w:rPr>
        <w:t>Character Description</w:t>
      </w:r>
    </w:p>
    <w:p>
      <w:pPr>
        <w:pStyle w:val="Heading3"/>
        <w:spacing w:lineRule="auto" w:line="360"/>
        <w:rPr>
          <w:rFonts w:ascii="Times New Roman" w:hAnsi="Times New Roman" w:cs="Times New Roman"/>
        </w:rPr>
      </w:pPr>
      <w:r>
        <w:rPr>
          <w:rFonts w:cs="Times New Roman" w:ascii="Times New Roman" w:hAnsi="Times New Roman"/>
          <w:lang w:val="en-US"/>
        </w:rPr>
        <w:t>Ceratosauria</w:t>
      </w:r>
    </w:p>
    <w:p>
      <w:pPr>
        <w:pStyle w:val="Normal"/>
        <w:spacing w:lineRule="auto" w:line="360"/>
        <w:rPr/>
      </w:pPr>
      <w:r>
        <w:rPr>
          <w:rFonts w:cs="Times New Roman" w:ascii="Times New Roman" w:hAnsi="Times New Roman"/>
          <w:lang w:val="en-US"/>
        </w:rPr>
        <w:t xml:space="preserve">Character polarity was determined using Ornithischia, Prosauropoda, and </w:t>
      </w:r>
      <w:r>
        <w:rPr>
          <w:rFonts w:cs="Times New Roman" w:ascii="Times New Roman" w:hAnsi="Times New Roman"/>
          <w:i/>
          <w:lang w:val="en-US"/>
        </w:rPr>
        <w:t>Herrerasaurus</w:t>
      </w:r>
      <w:r>
        <w:rPr>
          <w:rFonts w:cs="Times New Roman" w:ascii="Times New Roman" w:hAnsi="Times New Roman"/>
          <w:lang w:val="en-US"/>
        </w:rPr>
        <w:t xml:space="preserve"> as outgroups. Ingroup taxa included Spinosauridae, </w:t>
      </w:r>
      <w:r>
        <w:rPr>
          <w:rFonts w:cs="Times New Roman" w:ascii="Times New Roman" w:hAnsi="Times New Roman"/>
          <w:i/>
          <w:lang w:val="en-US"/>
        </w:rPr>
        <w:t>Torvosaurus,</w:t>
      </w:r>
      <w:r>
        <w:rPr>
          <w:rFonts w:cs="Times New Roman" w:ascii="Times New Roman" w:hAnsi="Times New Roman"/>
          <w:lang w:val="en-US"/>
        </w:rPr>
        <w:t xml:space="preserve"> </w:t>
      </w:r>
      <w:r>
        <w:rPr>
          <w:rFonts w:cs="Times New Roman" w:ascii="Times New Roman" w:hAnsi="Times New Roman"/>
          <w:i/>
          <w:lang w:val="en-US"/>
        </w:rPr>
        <w:t>Allosaurus,</w:t>
      </w:r>
      <w:r>
        <w:rPr>
          <w:rFonts w:cs="Times New Roman" w:ascii="Times New Roman" w:hAnsi="Times New Roman"/>
          <w:lang w:val="en-US"/>
        </w:rPr>
        <w:t xml:space="preserve"> </w:t>
      </w:r>
      <w:r>
        <w:rPr>
          <w:rFonts w:cs="Times New Roman" w:ascii="Times New Roman" w:hAnsi="Times New Roman"/>
          <w:i/>
          <w:lang w:val="en-US"/>
        </w:rPr>
        <w:t>Dilophosaurus,</w:t>
      </w:r>
      <w:r>
        <w:rPr>
          <w:rFonts w:cs="Times New Roman" w:ascii="Times New Roman" w:hAnsi="Times New Roman"/>
          <w:lang w:val="en-US"/>
        </w:rPr>
        <w:t xml:space="preserve"> </w:t>
      </w:r>
      <w:r>
        <w:rPr>
          <w:rFonts w:cs="Times New Roman" w:ascii="Times New Roman" w:hAnsi="Times New Roman"/>
          <w:i/>
          <w:lang w:val="en-US"/>
        </w:rPr>
        <w:t>Liliensternus,</w:t>
      </w:r>
      <w:r>
        <w:rPr>
          <w:rFonts w:cs="Times New Roman" w:ascii="Times New Roman" w:hAnsi="Times New Roman"/>
          <w:lang w:val="en-US"/>
        </w:rPr>
        <w:t xml:space="preserve"> </w:t>
      </w:r>
      <w:r>
        <w:rPr>
          <w:rFonts w:cs="Times New Roman" w:ascii="Times New Roman" w:hAnsi="Times New Roman"/>
          <w:i/>
          <w:lang w:val="en-US"/>
        </w:rPr>
        <w:t>Procompsognathus,</w:t>
      </w:r>
      <w:r>
        <w:rPr>
          <w:rFonts w:cs="Times New Roman" w:ascii="Times New Roman" w:hAnsi="Times New Roman"/>
          <w:lang w:val="en-US"/>
        </w:rPr>
        <w:t xml:space="preserve"> </w:t>
      </w:r>
      <w:r>
        <w:rPr>
          <w:rFonts w:cs="Times New Roman" w:ascii="Times New Roman" w:hAnsi="Times New Roman"/>
          <w:i/>
          <w:lang w:val="en-US"/>
        </w:rPr>
        <w:t>Segisaurus,</w:t>
      </w:r>
      <w:r>
        <w:rPr>
          <w:rFonts w:cs="Times New Roman" w:ascii="Times New Roman" w:hAnsi="Times New Roman"/>
          <w:lang w:val="en-US"/>
        </w:rPr>
        <w:t xml:space="preserve"> </w:t>
      </w:r>
      <w:r>
        <w:rPr>
          <w:rFonts w:cs="Times New Roman" w:ascii="Times New Roman" w:hAnsi="Times New Roman"/>
          <w:i/>
          <w:lang w:val="en-US"/>
        </w:rPr>
        <w:t>Coelophysis,</w:t>
      </w:r>
      <w:r>
        <w:rPr>
          <w:rFonts w:cs="Times New Roman" w:ascii="Times New Roman" w:hAnsi="Times New Roman"/>
          <w:lang w:val="en-US"/>
        </w:rPr>
        <w:t xml:space="preserve"> </w:t>
      </w:r>
      <w:r>
        <w:rPr>
          <w:rFonts w:cs="Times New Roman" w:ascii="Times New Roman" w:hAnsi="Times New Roman"/>
          <w:i/>
          <w:lang w:val="en-US"/>
        </w:rPr>
        <w:t>Syntarsus</w:t>
      </w:r>
      <w:r>
        <w:rPr>
          <w:rFonts w:cs="Times New Roman" w:ascii="Times New Roman" w:hAnsi="Times New Roman"/>
          <w:lang w:val="en-US"/>
        </w:rPr>
        <w:t xml:space="preserve"> </w:t>
      </w:r>
      <w:r>
        <w:rPr>
          <w:rFonts w:cs="Times New Roman" w:ascii="Times New Roman" w:hAnsi="Times New Roman"/>
          <w:i/>
          <w:lang w:val="en-US"/>
        </w:rPr>
        <w:t>kayentakatae,</w:t>
      </w:r>
      <w:r>
        <w:rPr>
          <w:rFonts w:cs="Times New Roman" w:ascii="Times New Roman" w:hAnsi="Times New Roman"/>
          <w:lang w:val="en-US"/>
        </w:rPr>
        <w:t xml:space="preserve"> </w:t>
      </w:r>
      <w:r>
        <w:rPr>
          <w:rFonts w:cs="Times New Roman" w:ascii="Times New Roman" w:hAnsi="Times New Roman"/>
          <w:i/>
          <w:lang w:val="en-US"/>
        </w:rPr>
        <w:t>Syntarsus</w:t>
      </w:r>
      <w:r>
        <w:rPr>
          <w:rFonts w:cs="Times New Roman" w:ascii="Times New Roman" w:hAnsi="Times New Roman"/>
          <w:lang w:val="en-US"/>
        </w:rPr>
        <w:t xml:space="preserve"> </w:t>
      </w:r>
      <w:r>
        <w:rPr>
          <w:rFonts w:cs="Times New Roman" w:ascii="Times New Roman" w:hAnsi="Times New Roman"/>
          <w:i/>
          <w:lang w:val="en-US"/>
        </w:rPr>
        <w:t>rhodesiensis,</w:t>
      </w:r>
      <w:r>
        <w:rPr>
          <w:rFonts w:cs="Times New Roman" w:ascii="Times New Roman" w:hAnsi="Times New Roman"/>
          <w:lang w:val="en-US"/>
        </w:rPr>
        <w:t xml:space="preserve"> </w:t>
      </w:r>
      <w:r>
        <w:rPr>
          <w:rFonts w:cs="Times New Roman" w:ascii="Times New Roman" w:hAnsi="Times New Roman"/>
          <w:i/>
          <w:lang w:val="en-US"/>
        </w:rPr>
        <w:t>Elaphrosaurus,</w:t>
      </w:r>
      <w:r>
        <w:rPr>
          <w:rFonts w:cs="Times New Roman" w:ascii="Times New Roman" w:hAnsi="Times New Roman"/>
          <w:lang w:val="en-US"/>
        </w:rPr>
        <w:t xml:space="preserve"> </w:t>
      </w:r>
      <w:r>
        <w:rPr>
          <w:rFonts w:cs="Times New Roman" w:ascii="Times New Roman" w:hAnsi="Times New Roman"/>
          <w:i/>
          <w:lang w:val="en-US"/>
        </w:rPr>
        <w:t>Ceratosaurus,</w:t>
      </w:r>
      <w:r>
        <w:rPr>
          <w:rFonts w:cs="Times New Roman" w:ascii="Times New Roman" w:hAnsi="Times New Roman"/>
          <w:lang w:val="en-US"/>
        </w:rPr>
        <w:t xml:space="preserve"> </w:t>
      </w:r>
      <w:r>
        <w:rPr>
          <w:rFonts w:cs="Times New Roman" w:ascii="Times New Roman" w:hAnsi="Times New Roman"/>
          <w:i/>
          <w:lang w:val="en-US"/>
        </w:rPr>
        <w:t>Xenotarsosaurus,</w:t>
      </w:r>
      <w:r>
        <w:rPr>
          <w:rFonts w:cs="Times New Roman" w:ascii="Times New Roman" w:hAnsi="Times New Roman"/>
          <w:lang w:val="en-US"/>
        </w:rPr>
        <w:t xml:space="preserve"> </w:t>
      </w:r>
      <w:r>
        <w:rPr>
          <w:rFonts w:cs="Times New Roman" w:ascii="Times New Roman" w:hAnsi="Times New Roman"/>
          <w:i/>
          <w:lang w:val="en-US"/>
        </w:rPr>
        <w:t>Noasaurus,</w:t>
      </w:r>
      <w:r>
        <w:rPr>
          <w:rFonts w:cs="Times New Roman" w:ascii="Times New Roman" w:hAnsi="Times New Roman"/>
          <w:lang w:val="en-US"/>
        </w:rPr>
        <w:t xml:space="preserve"> </w:t>
      </w:r>
      <w:r>
        <w:rPr>
          <w:rFonts w:cs="Times New Roman" w:ascii="Times New Roman" w:hAnsi="Times New Roman"/>
          <w:i/>
          <w:lang w:val="en-US"/>
        </w:rPr>
        <w:t>Masiakasaurus,</w:t>
      </w:r>
      <w:r>
        <w:rPr>
          <w:rFonts w:cs="Times New Roman" w:ascii="Times New Roman" w:hAnsi="Times New Roman"/>
          <w:lang w:val="en-US"/>
        </w:rPr>
        <w:t xml:space="preserve"> </w:t>
      </w:r>
      <w:r>
        <w:rPr>
          <w:rFonts w:cs="Times New Roman" w:ascii="Times New Roman" w:hAnsi="Times New Roman"/>
          <w:i/>
          <w:lang w:val="en-US"/>
        </w:rPr>
        <w:t>Ilokelesia,</w:t>
      </w:r>
      <w:r>
        <w:rPr>
          <w:rFonts w:cs="Times New Roman" w:ascii="Times New Roman" w:hAnsi="Times New Roman"/>
          <w:lang w:val="en-US"/>
        </w:rPr>
        <w:t xml:space="preserve"> </w:t>
      </w:r>
      <w:r>
        <w:rPr>
          <w:rFonts w:cs="Times New Roman" w:ascii="Times New Roman" w:hAnsi="Times New Roman"/>
          <w:i/>
          <w:lang w:val="en-US"/>
        </w:rPr>
        <w:t>Abelisaurus,</w:t>
      </w:r>
      <w:r>
        <w:rPr>
          <w:rFonts w:cs="Times New Roman" w:ascii="Times New Roman" w:hAnsi="Times New Roman"/>
          <w:lang w:val="en-US"/>
        </w:rPr>
        <w:t xml:space="preserve"> </w:t>
      </w:r>
      <w:r>
        <w:rPr>
          <w:rFonts w:cs="Times New Roman" w:ascii="Times New Roman" w:hAnsi="Times New Roman"/>
          <w:i/>
          <w:lang w:val="en-US"/>
        </w:rPr>
        <w:t>Majungatholus,</w:t>
      </w:r>
      <w:r>
        <w:rPr>
          <w:rFonts w:cs="Times New Roman" w:ascii="Times New Roman" w:hAnsi="Times New Roman"/>
          <w:lang w:val="en-US"/>
        </w:rPr>
        <w:t xml:space="preserve"> and </w:t>
      </w:r>
      <w:r>
        <w:rPr>
          <w:rFonts w:cs="Times New Roman" w:ascii="Times New Roman" w:hAnsi="Times New Roman"/>
          <w:i/>
          <w:lang w:val="en-US"/>
        </w:rPr>
        <w:t>Carnotaurus.</w:t>
      </w:r>
      <w:r>
        <w:rPr>
          <w:rFonts w:cs="Times New Roman" w:ascii="Times New Roman" w:hAnsi="Times New Roman"/>
          <w:lang w:val="en-US"/>
        </w:rPr>
        <w:t xml:space="preserve"> All multistate characters are treated as unordered. </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 xml:space="preserve">Craniofacial elements (i.e., maxilla, jugal, quadratojugal, nasal): externally smooth (0), sculptured (1) (Novas 1997b). </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Skull length: less than (0) or greater than (1) three times the caudal skull height (Forster 1999; Sereno 1999a).</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Orbit: round (0), oval or keyhole-shaped with a narrower ventral end (1) (Gauthier 1986).</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Craniocaudal length of the internal antorbital fenestra: less than (0) or greater than (1) 25% of the maximum skull length (Rowe 1989).</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Main body of the premaxilla (excludes the maxillary process): rostrocaudally longer than dorsoventrally tall below the external naris (0), deep, dorsoventrally taller than rostrocaudally long below the external naris (1) (Holtz 1994, 1998a; Sampson et al. 1998).</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Main body of the premaxilla: laterally perforated with multiple neurovascular foramina (0), lacks neurovascular foramina (1).</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Premaxilla nasal process forms more than half (0) or less than or equal to half (1) of the rostrodorsal narial border (Holtz 1998a; Carrano et al. 2002).</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Small pit absent (0) or present (1) at the base of the premaxilla nasal process, dorsal to the position of the second premaxillary alveolus.</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Maxillary process of the premaxilla: long, nearly or fully excluding the maxilla from the external naris border (0), short, allowing the maxilla large contribution to the external naris (1) (Zhao and Currie 1993).</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 xml:space="preserve">Palatal process of the premaxilla: moderate (0) or reduced (1) in size (Sampson et al. 1998). </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Subnarial foramen: present (0) or absent (1) along the premaxilla-maxilla suture (Gauthier 1986; Sereno et al. 1993).</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Premaxilla and maxilla firmly abut each other in a strong suture (0), the maxillary process of the premaxilla loosely overlaps the premaxillary process of the maxilla, resulting in flexible articulation (1) (Tykoski 1998; Sereno 1999a).</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Subnarial gap in the tooth row: absent (0) or present (1) at the premaxilla-maxilla contact (Rowe 1989; Rowe and Gauthier 1990).</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Premaxillary process of the maxilla: absent, resulting in continuous convex rostral border of the maxilla (0), small and dorsoventrally low, resulting in shallowly concave rostral border of the maxilla in lateral view (1), short to moderate in length and dorsoventrally deep, with concave rostral border of the maxilla in lateral view (2), long but dorsoventrally narrow, with a roughly concave rostrodorsal margin (3) (Sereno et al. 1994; Holtz 1998a; Rauhut 2000a).</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Rostral end of the maxillary alveolar border straight or slightly upcurved (0), alveolar border sharply upcurved such that the first maxillary tooth may project rostroventrally (1) (Rowe 1989).</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Maxilla with more than ten alveoli (0), with ten or fewer alveoli (1) (Carrano et al. 2002).</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Raised ridge marking the ventral margin of the maxillary antorbital fossa: absent (0), present and dips caudoventrally, possibly not reaching the caudal tip of the maxilla (1), present and paralleling the alveolar margin to near the caudal tip of the maxilla (= alveolar ridge) (2) (Rowe 1989).</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Maxillary antorbital fossa: broad, at least one-third the rostrocaudal length of internal antorbital fenestra (0), narrow, not extending much beyond rim of internal antorbital fenestra (1) (Sereno et al. 1994; Forster 1999).</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Promaxillary fenestra: absent with no evidence of additional pneumatic remodeling to the rostral margin of the maxillary antorbital fossa (0), present and visible in lateral view (1), present but fully hidden in lateral view by the lateral wall of the ascending ramus of maxilla (2), absent, but small depression(s) present in the same area that does/do not perforate the maxilla (3) (Currie and Zhao 1993a; Holtz 1994).</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Palatal processes of the maxilla: rectangular (0), triangular (1), long and "fluted," meeting along a tongue-and-groove contact (2) (Sereno et al. 1998).</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Nasals in adults: paired (0), fused (1) (Sereno 1999a).</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Nasals flat, unornamented (0), bearing median horn or crest (1), bearing low ridges along the lateral margins (2), rough, rugose, and pitted on the dorsal and lateral surfaces (3), giving rise to thin parasagittal dorsal crests (4) (Rowe 1989; Holtz 1998a; Rauhut 2000a).</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Nasal laterally concave caudal to the external naris, with a fossa rimming the external naris border (0), rostral end of the nasal laterally convex, overhanging the caudal portion of the external naris (1) (Tykoski 1998).</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Nasal excluded from (0) or contributes to (1) the antorbital cavity (Witmer 1997a; Holtz 1998a).</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Diamond-shaped nasal fenestrae bordered by nasals, prefrontals, and frontals absent (0) or present (1) on the dorsal skull roof (Rowe 1989).</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Lacrimal rostral ramus subequal to the ventral ramus in length and width (0), reduced (much narrower) relative to the ventral ramus (1), longer than the ventral ramus (2), absent (3) (Sereno et al. 1996).</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Lacrimal dorsal end lacks a caudal process (0), caudal process contacts postorbital, excluding the frontal from the orbit rim (1) (Sampson et al. 1998).</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Lacrimal antorbital pneumatic recess: absent (0), present with single opening (1), present with multiple openings (2) (Novas 1989; Molnar 1990).</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Suborbital process (or caudal convexity) of the lacrimal: absent (0), present (1) (Sampson et al. 1998).</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Frontals: paired (0), fused (1) (Holtz 1998a).</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Frontal-parietal suture on the dorsal surface of the skull forms a straight line transversely (0), frontals are separated along the median suture by the rostral processes of the parietals (1), frontals and parietals are fused and suture is indistinguishable (2) (Holtz 1998a; Forster 1999; Sereno 1999a).</w:t>
      </w:r>
    </w:p>
    <w:p>
      <w:pPr>
        <w:pStyle w:val="Normal"/>
        <w:tabs>
          <w:tab w:val="clear" w:pos="720"/>
          <w:tab w:val="left" w:pos="4302" w:leader="none"/>
        </w:tabs>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 xml:space="preserve">Median fossa in saddle-shaped depression overlapping frontal-parietal contact: absent (0), present (1) (Sampson et al. 1998). </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Frontals: flat (0), give rise to prominent dorsal ornamentation (horns, knobs) (1).</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Transversely thickened parietal sagittal crest: absent (0), present (1) (Novas 1989; Holtz 1998a).</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Parietal nuchal crest: small (0), hypertrophied and elevated (1) (Forster 1999; Sereno 1999a).</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Orbit rostrocaudal diameter: subequal to or greater than the internal antorbital fenestra length (0), less than the internal antorbital fenestra length (1) (Holtz 1998a).</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Postorbital suborbital flange: absent (0), present (1) (Gauthier 1986; Holtz 1998a).</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 xml:space="preserve">Ventral ramus of the postorbital: transversely narrow (0), transversely broad and U-shaped (1) (Sereno et al. 1994). </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Ventrolateral fossa on the postorbital: absent (0), present (1) (Sampson et al. 1998; Carrano et al. 2002).</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Postorbital long axis: near dorsoventral (0), rostroventral-caudodorsal (1) (Novas 1989; Carrano et al. 2002).</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Frontal process of the postorbital: sharply upturned (0), at about the same level as or slightly higher than the squamosal process, resulting in a T-shaped postorbital (1) (Currie 1995).</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Jugal excluded from (0) or contacts the rim of (1) the antorbital fossa (Currie and Zhao 1993a).</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Jugal does (0) or does not participate in the rim of the internal antorbital fenestra (Holtz 1994).</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 xml:space="preserve">Caudal tip of the caudal (= quadratojugal) process of the jugal: divided, so that the dorsal and ventral prongs are subequal in length (0), divided, with the dorsal prong extending further caudally (1),divided, with the ventral prong extending further caudally (2), not divided (3) (Holtz 1998a). </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Lateral ridge longitudinally traversing the rostral and caudal processes of the jugal: absent (0), present (1) (Sereno and Novas 1993; Tykoski 1998).</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Infratemporal fenestra about the size of the orbit or smaller in lateral view (0), about twice the size of the orbit in lateral view (1) (Holtz 1994).</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Quadratojugal contacts the squamosal at the tip (0), does not contact the squamosal (1), has broad contact with the squamosal (2) (Holtz 2001a; Rauhut 2000a).</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 xml:space="preserve">Quadratojugal and quadrate distinctly separate in adults (0), or fuse in adults (1) (Holtz 1998a). </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Quadrate foramen large and positioned between the quadrate and quadratojugal (0), reduced, still on quadrate-quadratojugal border (1), small and enclosed within the dorsal ramus of the quadrate (2), absent (3) (Novas 1989; Harris 1998a; Holtz 1998a).</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Height of quadrate dorsal ramus less than (0) or greater than (1) height of the orbit (Sereno et al. 1994).</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Pronounced, sharply defined median ridge on the supraoccipital: absent (0), present (1) (Holtz 1998a).</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Paroccipital processes directly laterally or dorsolaterally (0), ventrolaterally (1), laterally with upturned ends (2) (Bakker et al. 1988; Carrano et al. 2002).</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 xml:space="preserve">Large lateral foramen in the basisphenoid partially overlapped by crista prootica: absent (0), present (1). </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Rostrally directed median spur of the basioccipital absent (0) or present (1) on the ceiling of the basisphenoid recess.</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Single opening for the trigeminal nerve (0), at least incipient accessory opening for the trigeminal in addition (1) (Currie and Zhao 1993a; Carrano et al. 2002).</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Dentary rostral end: unexpanded (0), dorsally raised over the distance of the first three to four alveoli (1) (Sereno 1999a).</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Socket in the caudodorsal end of the dentary for the surangular prong: absent (0), present (1) (Carrano et al. 2002).</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External mandibular fenestra: moderate in size (0), hypertrophied (1), reduced in size (2) (Gauthier 1986; Sampson et al. 1998).</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Splenial concave intramandibular joint: absent (0), present (1) (Novas 1993).</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 xml:space="preserve">Horizontal shelf on the lateral surface of the surangular rostroventral to the mandibular condyle: absent or only a faint ridge (0), prominent and extending laterally (1), prominent and pendant (2) (Holtz 1998a). </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Premaxillary teeth: strongly serrated/denticulate (0), having serrations reduced or absent (1) (Rowe 1989; Rowe and Gauthier 1990).</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Mesial premaxillary teeth: buccolingually compressed and recurved (0), subcircular to circular in cross section and straight or only slightly recurved (nearly conical) (1) (Rowe 1989; Rowe and Gauthier 1990).</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Premaxillary tooth row: extends under the external naris (0), does not reach caudally below the external naris (1) (Sereno 1999a).</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Maxillary tooth row: extends caudally below the orbit (0), last tooth position rostral to the orbit (1) (Gauthier 1986).</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Most mesial dentary teeth: labiolingually compressed, recurved, and strongly serrated (0), nearly circular in cross section, nearly straight, with reduced or absent serrations (1).</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Interdental (= paradental) plates: barely or moderately visible (0) or widely visible (1) in medial view (Carrano et al. 2002).</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Interdental (= paradental) plates: separated (0), fused (1) (Rauhut 1995).</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Medial surface of interdental (= paradental) plates: smooth (0), ridged (1) (Sampson et al. 1998).</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Cervical and cranial dorsal centra with cranial faces amphiplatyan or amphicoelous (0), slightly convex (1), strongly convex, having ball-like articulation (2) (Gauthier 1986).</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Cervical and cranial dorsal centra with caudal faces amphiplatyan or amphicoelous (0), strongly concave (1) (Gauthier 1986).</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Epipophyseal-prezygapophyseal lamina absent (0) or present (1) on cervical vertebrae (Coria and Salgado 1998a).</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Axial diapophysis: present (0), absent (1) (Rowe 1989).</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Axial parapophysis: well developed (0), reduced (1) (Rowe 1989).</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Pleurocoel in cranial end of axis: absent (0), present (1) (Rowe 1989).</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Axial neural spine craniodorsal border strongly backswept and straight or dorsally concave (0) or convex (1) in lateral view (Makovicky and Sues 1998).</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Axial neural spine does (0) or does not (1) extend cranially beyond prezygapophyses.</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Pneumatic foramen or foramina in axis neural arch caudodorsal to diapophysis: absent (0), present (1) (Carrano et al. 2002).</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Postaxial cervical and most cranial dorsal centra lack pleurocoels (0), possess single pair of pleurocoels (left and right sides) in cranial end of centrum (1), possess two pairs of pleurocoels located cranially and caudally, respectively (2) (Rowe 1989; Holtz 1994, 1998a; Sereno 1999a; Carrano et al. 2002).</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 xml:space="preserve">Postaxial cervical pleurocoels: internal cavities accessed via foramina in lateral surfaces of centra (0),  deep ovoid pockets or well-defined fossae excavated into lateral surfaces of centra (1). </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Cervical epipophyses: directed caudolaterally and lower than neural spine height (0), directed dorsolaterally and lower than top of neural spine (1), directed dorsolaterally and project above top of neural spine (2) (Holtz 1994, 1998a).</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Cranially directed processes on cervical epipophyses: absent (0), present (1) (Sereno 1999a; Carrano et al. 2002).</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Postaxial cervical neural spines dorsoventrally tall (0), low (1) (Russell and Dong 1993a).</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Postaxial cervical neural spines axially long (0), short (1) (Carrano et al. 2002).</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 xml:space="preserve">Pneumatic cavities in postaxial cervical neural arches lateral to neural canal, entered via triangular opening on caudolateral margin of arch: absent (0), present (1) (Tykoski 1998). </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Cervical vertebral neural arch pedicles with large pneumatic foramina on cranial surface lateral to neural canal: absent (0), present (1).</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 xml:space="preserve">Midcervical centra length approximately twice the diameter of the cranial face (0), four or more times the diameter of the cranial face (1), less than twice the diameter of the cranial face (2) (Holtz 1998a; Sereno 1999a). </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Cervical neural spines positioned mostly over the caudal half of the centrum (0), mostly over the cranial half of centrum (1) (Carrano et al. 2002).</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Cervical ribs remain unfused to the vertebrae (0) or fuse to the vertebrae (1) in adults (Gauthier 1986).</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Cervical ribs short, less than twice the centrum length (0),two to three times the centrum length (1), long and extremely thin, four or more times the centrum length (2) (Holtz 1998a; Tykoski 1998).</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 xml:space="preserve">Numerous pneumatic foramina absent (0) or present (1) in the lateral surfaces ventral to the transverse processes of the cervical and dorsal vertebral neural arches. </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Dorsal vertebral centra less than (0) or greater than or equal to (1) twice the height of the cranial articular surface (Sereno 1999a).</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Dorsal transverse processes laterally directed and subrectangular (0) or caudally backswept and triangular (1) in dorsal view (Rowe 1989).</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Dorsal parapophyses lie close to the centrum or arch (0), are laterally projecting on "stalks" (1) (Currie and Zhao 1993a; Carrano et al. 2002).</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Cranial to mid-dorsal vertebrae having no pleurocoels (0), one pair of pleurocoels (1), or two pairs of pleurocoels (2) in centrum body (Holtz 1998a).</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Sacrum composed of two vertebrae (0), three vertebrae by addition of a caudosacral (1), five vertebrae by addition of one dorsosacral and a second caudosacral (2), six vertebrae by addition of either a second dorsosacral or a third caudosacral (3) (Gauthier 1986; Novas 1991; Carrano et al. 2002).</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 xml:space="preserve">Largest sacral rib articulates with one of the two primordial sacrals (0), on the first caudosacral (1). </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Sacral centra approximately equal in size and the ventral margin of the sacrum straight (0), midsacral centra strongly reduced in size, the ventral margin of the sacrum arching dorsally (1) (Holtz 1998a; Tykoski 1998; Sereno 1999a).</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Sacral centra do not fuse (0), show low degree of unification, with easily discerned contacts at the centra articular surfaces (1), fuse to an extreme degree, with sutures being difficult to discern and swellings marking the centra articular surfaces (2) (Rowe 1989; Rowe and Gauthier 1990; Tykoski 1998).</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Sacral neural arch elements (transverse processes, arches, neural spines) and the sacral ribs remain separate (0), fuse to one another (1) (Rowe 1989; Rowe and Gauthier 1990).</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Sacral ribs do not (0) or do (1) fuse with the ilia (Rowe 1989; Rowe and Gauthier 1990).</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Sharp ventral groove on the proximal caudal centra: absent (0), present (1) (Rowe and Gauthier 1990).</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Transverse processes of the caudal vertebrae tapered or ending bluntly (0) or axially expanded (1) in dorsal view (Coria and Salgado 1998a).</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Distal caudals: roughly as long as the proximal caudals (0), more than 130% the length of the proximal caudals (1) (Holtz 1998a).</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Cranial process of chevron bases: absent (0), small (1), large (2) (Carrano et al. 2002).</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Scapular blade: craniocaudally broad (0), narrow and straplike (1) (Gauthier 1986; Holtz 1994).</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 xml:space="preserve">Dorsal scapular blade: expanded relative to the base of the scapular blade (0), remains similar in width to the base of the blade (1) (Currie and Zhao 1993a). </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Caudal margin of the scapular blade: curves caudally (0), is straight over most of its length, curving caudally only near the distal tip (1).</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Cranial margin of the scapulacoracoid: indented or notched between the acromial process of the scapula and coracoid suture (0), smoothly curved and uninterrupted across the contact between the scapula and the coracoid (1) (Currie and Carpenter 2000; Holtz 1998a).</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Caudoventral process of the coracoid: moderately developed (0), large (1) (Sereno et al. 1996).</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Furcula (median fusion of the clavicles): absent, with clavicles paired elements (0), present (1) (Holtz 1994, 1998a).</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Humerus straight (0) or sigmoidal (1) in lateral view (Sereno 1999a).</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Proximal head of the humerus: elongate (0), rounded, bulbous, subspherical (1) (Holtz 1998a).</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Distal humeral condyles: rounded (0), flattened (1) (Carrano et al. 2002).</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Deltopectoral crest: less than 45% of the humeral length (0), greater than or equal to 45% of the humeral length (1) (Sereno et al. 1998).</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Deltopectoral crest oriented longitudinally (0) or obliquely (1) on the humeral shaft (Carrano et al. 2002).</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Forearm length (radius) greater than (0) or less than (1) 50% of the humeral length (Holtz 1998a; Sereno et al. 1998).</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Distal carpal 1: small (0), fused with distal carpal 2 (1) (Gauthier 1986).</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Proximal half of metacarpal I loosely (0) or closely (1) appressed to metacarpal II (Gauthier 1986).</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 xml:space="preserve">Metacarpal IV: present with phalanges and ungual (0), present with phalanges but lacking ungual (1), present but lacking phalanges (2), absent (3) (Gauthier 1986; Holtz 1998a). </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Pelvic bones separate (0) or fused to one another (1) in adults (Rowe 1989; Rowe and Gauthier 1990).</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Ilium: brachyiliac (0), dolichoiliac (1) (Gauthier 1986).</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 xml:space="preserve">Iliac blade: margin convex dorsally in lateral view (0), dorsal margin linear, dipping caudoventrally above the ischial peduncle (1). </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Ilium craniocaudal length: obviously less than that of femur (0), about the same as that of the femur (1) (Holtz 1998a).</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Ilium preacetabular process: short and spinelike (0), long and rectangular (1) (Gauthier 1986; Carrano 2000).</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Cranioventrally directed lobe on the ilium preacetabular process absent (0), present, so that the iliac blade closely approaches the pubic peduncle, resulting in a narrow preacetabular notch (1) (Sereno et al. 1994).</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Depth of brevis fossa (for M. caudofemoralis): shallow or absent (0), pronounced (1) (Gauthier 1986).</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Distal end of brevis: not developed (0), distally tapered or narrow (1), broad (2) (Sereno et al. 1996).</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Ilium postacetabular process with rounded or convex (0) or concave (1) caudal margin (Russell and Dong 1993a; Sereno 1999a).</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Distinct rim on the lateral surface of the iliac postacetabular process: absent (0), present (1) (Rowe 1989).</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Supracetabular crest of the ilium: a low ridge (0), laterally flaring and shelflike (1), flaring laterally and ventrally, overhanging much of the craniodorsal half of the acetabulum in lateral view (2) (Rowe and Gauthier 1990).</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Iliac-pubic articulation less than or equal to (0) or greater than (1) the size of the iliac-ischial articulation (Sereno et al. 1994).</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Distal end of the pubic peduncle of the ilium peduncle: faces ventrally (0), has distinct cranial and ventral articular faces separated by a sharp angle (1) (Sereno et al. 1998).</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Iliac-pubic articulation: concavoconvex (0), peg-in-socket (1) (Sampson et al. 1998).</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Ischial peduncle of ilium directed caudoventrally (0), ventrally (1) (Carrano et al. 2002).</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Antitrochanter on the ischial peduncle of the ilium: indistinct or poorly developed (0), strongly marked and developed (1) (Rowe 1989; Rowe and Gauthier 1990).</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Pubic shafts wide, resulting in a transversely broad, platelike pubic apron (width roughly one-third to one-fourth of the shaft length) (0), pubic shafts and apron narrow (1).</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Pubic-shaft axis: straight (0), bowing cranially (caudally concave, cranially convex in lateral view) (1) (Rowe 1989).</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Pubic fenestra in puboischial plate ventromedial to obturator foramen: absent (0), present (1) (Rowe 1989; Rowe and Gauthier 1990).</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Pubic shafts: meet medially over their entire length (0), separated by a short rectangular notch in the pubic apron at the distal extremity (1), meet near midshaft, separate, and meet again near the distal tip or as part of the pubic foot (2), meet only over the distal third or less (3).</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 xml:space="preserve">Distal end of the adult pubis unexpanded and transversely bladelike (0), terminates with a small expansion, or knob (1), terminates in a caudally expanded foot (2) (Gauthier 1986; Holtz 1994). </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Pubic distal expansion: absent (0), 10% or less of pubic-shaft length (1), 10%–30% of pubic-shaft length (2), greater than 30% of pubic-shaft length (3) (Sereno et al. 1996; Holtz 1998a).</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 xml:space="preserve">Ischial antitrochanter: small, indistinct (0), large and markedly developed, protruding into the acetabular profile, resulting in a notched caudoventral corner of the acetabulum in lateral view (1) (Rowe and Gauthier 1990; Sereno 1999a). </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Distal end of ischium: unexpanded (0), terminates in a slightly enlarged knob (1), craniocaudally expanded into an ischial foot (2) (Holtz 1994).</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Femoral head directed craniomedially (0), medially (1) (Novas 1991; Holtz 1994).</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Femoral head directed ventrally, below the level of the greater trochanter (0), medially at roughly the same level as the greater trochanter (1) (Novas 1991; Harris 1998a; Tykoski 1998).</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Femoral head ligament (= ligamentum capitus, femoralis) sulcus on the caudal surface of the proximal femur: shallowly expressed (0), deep, giving the femur a caudally hooked profile in proximal view (1).</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Proximal end of the femur blocky, roughly equant (0), transversely elongate and wedge-shaped, narrowing laterally (1), or rounded (2) in proximal view (Holtz 1998a).</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Dimorphism in the femoral cranial trochanter: absent (0), present (1) (Rowe and Gauthier 1990).</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Cranial trochanter: a low ridge or rugosity (0), a conical or pyramidal prominence (1), an aliform process nearly perpendicular to the surface of the femoral shaft (2) (Carrano 2000).</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Cranial trochanter proximalmost point: reaching to a level below or barely reaching femoral head (0), almost even with the midpoint of the femoral head (1) (Holtz 1998a).</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Femoral trochanteric shelf: low and ridgelike (0), strongly developed, markedly protruding from the cranial and craniolateral surfaces of the femoral shaft (1), a moderately raised area distal and caudodistal to the base of the cranial trochanter (2) (Gauthier 1986; Holtz 1994, 1998a).</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Femoral medial epicondyle (= craniodistal crest, craniomedial crest): small and smoothly rounded (0), well developed and crestlike (1), hypertrophied and flangelike (2) (Forster 1999).</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Extensor groove on the craniodistal femur: absent (0), shallow (1), deeply incised (2) (Harris 1998a; Holtz 1998a).</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Tibiofibular crest (= crista tibiofibularis, ectocondylar tuber, tuberous process) of the distal femur: smoothly protruding caudally dorsal to the fibular condyle (= lateral condyle) (0), sharply separated from the fibular condyle (1), sharply separated from the fibular condyle by a deep, distinct sulcus along its laterodistal base (2) (Rowe 1989; Rowe and Gauthier 1990).</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Infrapopliteal ridge traversing the popliteal fossa between the medial (= tibial) femoral distal condyle and the tibiofibular crest: absent (0), present (1) (Tykoski 1998).</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Tibia cnemial crest: small, at the same level or lower (more distal) than the proximal articular condyles (0), moderate in size with lateral curvature and rising slightly above the proximal condyles (1), craniocaudal length as great or greater than the length of the articular condyles, the crest hooking sharply laterally, and rising far above the proximal condyles (2) (Holtz 1998a; Sampson et al. 1998; Carrano et al. 2002).</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Fibular crest on the proximal tibia: absent (0), present (1) (Pérez-Moreno et al. 1993).</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Distal tibia: does not back the calcaneum (0), is expanded to back the calcaneum (1) (Sereno et al. 1996).</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Tibia and fibula: broadly separated through most of the length of the shafts (0), closely appressed (1) (Gauthier 1986; Holtz 1994).</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Tibial distal end unexpanded (0) or expanded (1) caudal to the fibula (Sereno et al. 1994; Carrano et al. 2002).</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Proximal fibula: flat or gently concave medially (0), excavated by a deep, centrally located groove (1), excavated by a deep, caudoventrally opening sulcus (2) (Rowe 1989; Rowe and Gauthier 1990).</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Midshaft fibula craniocaudal width greater than (0) or less than or equal to (1) 30% of the craniocaudal width of the proximal end (Sereno 1999a).</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Tubercle for M. iliofibularis on the cranial edge of the fibular shaft: absent (0), present (1) (Rauhut 2000a).</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Medial flange on the distal fibula that partly overlaps the ascending process of the astragalus: absent (0), present (1) (Rowe 1989; Rowe and Gauthier 1990).</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Tibia and astragalus remain separate in adults (0), fuse to form tibiotarsus in adults (1) (Rowe 1989).</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 xml:space="preserve">Ascending process of the astragalus: pyramidal or ridgelike, positioned proximally, so that it rests below the tibia (0), cranioproximally positioned and cranially overlapping the distal tibia (1). </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Ascending process of astragalus: low and pyramidal (0), low, triangular, and wedgelike plate (1), low to moderately high, rectangular plate (2), low to tall, triangular plate (3).</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Astragalus and calcaneum separate in adults (0), fuse to form the astragalocalcaneum in adults (1) (Rowe 1989).</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Horizontal groove absent (0) or present (1) across the cranial face of the astragalar condyles (Holtz 1994).</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Distal tarsal 4: subcircular to subrectangular in proximal view (0), having large rectangular notch in caudolateral margin (1).</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Distal tarsal 3: separate from metatarsal III (0), fused to metatarsal III (1) (Rowe 1989; Rowe and Gauthier 1990).</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Metatarsals II and IV of a similar midshaft width and both narrower than metatarsal III (0), metatarsal II having a narrower midshaft than both metatarsals III and IV (1) (Carrano et al. 2002).</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Metatarsals II and III remain separate (0) or fuse proximally (1) in adults (Rowe 1989).</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Proximal surface of metatarsal III: elliptical or rectangular (0), hourglass-shaped (1), dumbbell-shaped, with cranial and especially caudal/plantar edges expanded to slightly overlap metatarsals II and IV, respectively (2) (Holtz 1998a).</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Pedal unguals: having single lateral groove (0), having two lateral grooves (1) (Carrano et al. 2002).</w:t>
      </w:r>
    </w:p>
    <w:p>
      <w:pPr>
        <w:pStyle w:val="Normal"/>
        <w:spacing w:lineRule="auto" w:line="360"/>
        <w:rPr>
          <w:rFonts w:ascii="Times New Roman" w:hAnsi="Times New Roman" w:cs="Times New Roman"/>
        </w:rPr>
      </w:pPr>
      <w:r>
        <w:rPr>
          <w:rFonts w:cs="Times New Roman" w:ascii="Times New Roman" w:hAnsi="Times New Roman"/>
          <w:lang w:val="en-US"/>
        </w:rPr>
      </w:r>
    </w:p>
    <w:p>
      <w:pPr>
        <w:pStyle w:val="Normal"/>
        <w:spacing w:lineRule="auto" w:line="360"/>
        <w:rPr>
          <w:rFonts w:ascii="Times New Roman" w:hAnsi="Times New Roman" w:cs="Times New Roman"/>
        </w:rPr>
      </w:pPr>
      <w:r>
        <w:rPr>
          <w:rFonts w:cs="Times New Roman" w:ascii="Times New Roman" w:hAnsi="Times New Roman"/>
          <w:lang w:val="en-US"/>
        </w:rPr>
      </w:r>
    </w:p>
    <w:sectPr>
      <w:headerReference w:type="default" r:id="rId2"/>
      <w:footerReference w:type="default" r:id="rId6"/>
      <w:type w:val="nextPage"/>
      <w:pgSz w:w="12240" w:h="15840"/>
      <w:pgMar w:left="1440" w:right="1440" w:gutter="0" w:header="504" w:top="1440" w:footer="504"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w:altName w:val="Times New Roman"/>
    <w:charset w:val="00"/>
    <w:family w:val="auto"/>
    <w:pitch w:val="variable"/>
  </w:font>
  <w:font w:name="Liberation Sans">
    <w:altName w:val="Arial"/>
    <w:charset w:val="01"/>
    <w:family w:val="swiss"/>
    <w:pitch w:val="variable"/>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sz w:val="18"/>
        <w:lang w:val="en-US"/>
      </w:rPr>
      <w:t xml:space="preserve">Page </w:t>
    </w:r>
    <w:fldSimple w:instr="PAGE">
      <w:r>
        <w:rPr>
          <w:sz w:val="18"/>
        </w:rPr>
        <w:t>1</w:t>
      </w:r>
    </w:fldSimple>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320"/>
        <w:tab w:val="right" w:pos="5400" w:leader="none"/>
      </w:tabs>
      <w:ind w:end="360"/>
      <w:rPr>
        <w:rFonts w:ascii="Times New Roman" w:hAnsi="Times New Roman" w:cs="Times New Roman"/>
        <w:sz w:val="20"/>
      </w:rPr>
    </w:pPr>
  </w:p>
</w:hdr>
</file>

<file path=word/numbering.xml><?xml version="1.0" encoding="utf-8"?>
<w:numbering xmlns:w="http://schemas.openxmlformats.org/wordprocessingml/2006/main">
  <w:abstractNum w:abstractNumId="1">
    <w:multiLevelType w:val="singleLevel"/>
    <w:lvl w:ilvl="0">
      <w:start w:val="1"/>
      <w:numFmt w:val="decimal"/>
      <w:lvlText w:val="%1."/>
      <w:suff w:val="space"/>
      <w:pPr>
        <w:tabs>
          <w:tab w:val="num" w:pos="480"/>
        </w:tabs>
        <w:ind w:left="480" w:hanging="360"/>
      </w:pPr>
    </w:lvl>
  </w:abstractNum>
  <w:num w:numId="1">
    <w:abstractNumId w:val="1"/>
  </w:num>
</w:numbering>
</file>

<file path=word/settings.xml><?xml version="1.0" encoding="utf-8"?>
<w:settings xmlns:w="http://schemas.openxmlformats.org/wordprocessingml/2006/main">
  <w:zoom w:val="bestFit" w:percent="20"/>
  <w:defaultTabStop w:val="720"/>
  <w:autoHyphenation w:val="true"/>
  <w:hyphenationZone w:val="0"/>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w:cs="Noto Sans"/>
        <w:sz w:val="24"/>
        <w:szCs w:val="24"/>
        <w:lang w:val="en-US" w:eastAsia="en-US" w:bidi="en-US"/>
      </w:rPr>
    </w:rPrDefault>
    <w:pPrDefault>
      <w:pPr>
        <w:suppressAutoHyphens w:val="true"/>
      </w:pPr>
    </w:pPrDefault>
  </w:docDefaults>
  <w:style w:type="paragraph" w:styleId="Normal">
    <w:name w:val="Normal"/>
    <w:qFormat/>
    <w:pPr>
      <w:widowControl/>
      <w:bidi w:val="0"/>
      <w:spacing w:after="100" w:line="259" w:lineRule="auto"/>
    </w:pPr>
    <w:rPr>
      <w:rFonts w:ascii="Times New Roman" w:hAnsi="Times New Roman" w:eastAsia="Times" w:cs="Times"/>
      <w:b w:val="0"/>
      <w:color w:val="000000"/>
      <w:sz w:val="22"/>
      <w:szCs w:val="20"/>
      <w:lang w:val="en-US" w:eastAsia="zh-CN" w:bidi="hi-IN"/>
    </w:rPr>
  </w:style>
  <w:style w:type="character" w:styleId="DefaultParagraphFont">
    <w:name w:val="Default Paragraph Font"/>
    <w:qFormat/>
    <w:rPr/>
  </w:style>
  <w:style w:type="character" w:styleId="PageNumber">
    <w:name w:val="page number"/>
    <w:basedOn w:val="DefaultParagraphFont"/>
    <w:rPr/>
  </w:style>
  <w:style w:type="character" w:styleId="CommentReference">
    <w:name w:val="Comment Reference"/>
    <w:basedOn w:val="DefaultParagraphFont"/>
    <w:qFormat/>
    <w:rPr>
      <w:sz w:val="16"/>
    </w:rPr>
  </w:style>
  <w:style w:type="paragraph" w:styleId="Heading">
    <w:name w:val="Heading"/>
    <w:basedOn w:val="Normal"/>
    <w:next w:val="BodyText"/>
    <w:qFormat/>
    <w:pPr>
      <w:keepNext w:val="true"/>
      <w:spacing w:before="240" w:after="120"/>
    </w:pPr>
    <w:rPr>
      <w:rFonts w:ascii="Liberation Sans" w:hAnsi="Liberation Sans" w:eastAsia="Noto Sans"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Header">
    <w:name w:val="header"/>
    <w:basedOn w:val="Normal"/>
    <w:pPr>
      <w:tabs>
        <w:tab w:val="clear" w:pos="720"/>
        <w:tab w:val="center" w:pos="4320" w:leader="none"/>
        <w:tab w:val="right" w:pos="8640" w:leader="none"/>
      </w:tabs>
    </w:pPr>
    <w:rPr/>
  </w:style>
  <w:style w:type="paragraph" w:styleId="Footer">
    <w:name w:val="footer"/>
    <w:basedOn w:val="Normal"/>
    <w:pPr>
      <w:tabs>
        <w:tab w:val="clear" w:pos="720"/>
        <w:tab w:val="center" w:pos="4320" w:leader="none"/>
        <w:tab w:val="right" w:pos="8640" w:leader="none"/>
      </w:tabs>
    </w:pPr>
    <w:rPr/>
  </w:style>
  <w:style w:type="paragraph" w:styleId="CommentText">
    <w:name w:val="Comment Text"/>
    <w:basedOn w:val="Normal"/>
    <w:qFormat/>
    <w:pPr/>
    <w:rPr>
      <w:sz w:val="20"/>
    </w:rPr>
  </w:style>
  <w:style w:type="paragraph" w:styleId="FrameContents">
    <w:name w:val="Frame Contents"/>
    <w:basedOn w:val="Normal"/>
    <w:qFormat/>
    <w:pPr/>
    <w:rPr/>
  </w:style>
  <w:style w:type="paragraph" w:customStyle="1" w:styleId="Heading1">
    <w:name w:val="heading 1"/>
    <w:pPr>
      <w:keepNext/>
      <w:spacing w:before="200" w:after="80"/>
    </w:pPr>
    <w:rPr>
      <w:rFonts w:ascii="Times New Roman" w:hAnsi="Times New Roman"/>
      <w:b/>
      <w:color w:val="7A1F1F"/>
      <w:sz w:val="32"/>
    </w:rPr>
  </w:style>
  <w:style w:type="paragraph" w:customStyle="1" w:styleId="Heading2">
    <w:name w:val="heading 2"/>
    <w:pPr>
      <w:keepNext/>
      <w:spacing w:before="160" w:after="60"/>
    </w:pPr>
    <w:rPr>
      <w:rFonts w:ascii="Times New Roman" w:hAnsi="Times New Roman"/>
      <w:b/>
      <w:color w:val="7A1F1F"/>
      <w:sz w:val="28"/>
    </w:rPr>
  </w:style>
  <w:style w:type="paragraph" w:customStyle="1" w:styleId="Heading3">
    <w:name w:val="heading 3"/>
    <w:pPr>
      <w:keepNext/>
      <w:spacing w:before="120" w:after="100"/>
    </w:pPr>
    <w:rPr>
      <w:rFonts w:ascii="Times New Roman" w:hAnsi="Times New Roman"/>
      <w:b/>
      <w:color w:val="7A1F1F"/>
      <w:sz w:val="24"/>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footer" Target="footer1.xml"/><Relationship Id="rId7" Type="http://schemas.openxmlformats.org/officeDocument/2006/relationships/numbering" Target="numbering.xm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LibreOfficeDev/26.8.0.0.alpha0$Linux_X86_64 LibreOffice_project/2c87e51eeaa2b413ff4ae097b2705eea1995d8e5</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2004-11-23T16:07:00Z</dcterms:created>
  <dc:creator>Ronald S. Tykoski</dc:creator>
  <dc:description>Accessibility-remediated edition with semantic headings, lists, and tables.</dc:description>
  <dc:language>en-US</dc:language>
  <cp:lastModifiedBy>John Connolly</cp:lastModifiedBy>
  <dcterms:modified xsi:type="dcterms:W3CDTF">2004-11-24T15:12:00Z</dcterms:modified>
  <cp:revision>3</cp:revision>
  <dc:subject>Accessible supplement to Dinosauria, second edition</dc:subject>
  <dc:title>Appendix 3.1 — Character Description — Ceratosauria</dc:title>
  <cp:keywords>Dinosauria; paleontology; character descriptions; character-taxon matrix; accessible Word document</cp:keywords>
</cp:coreProperties>
</file>