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4320"/>
          <w:tab w:val="clear" w:pos="8640"/>
        </w:tabs>
        <w:spacing w:lineRule="auto" w:line="360" w:after="200"/>
        <w:rPr>
          <w:rFonts w:ascii="Times New Roman" w:hAnsi="Times New Roman" w:cs="Times New Roman"/>
        </w:rPr>
      </w:pPr>
      <w:r>
        <w:rPr>
          <w:rFonts w:ascii="Times New Roman" w:hAnsi="Times New Roman"/>
          <w:b w:val="0"/>
          <w:color w:val="000000"/>
          <w:sz w:val="20"/>
          <w:lang w:val="en-US"/>
        </w:rPr>
        <w:t xml:space="preserve">This document is a supplement to Dinosauria, second edition, edited by David B. Weishampel, Peter Dodson, and Halszka Osmolska (Berkeley: University of California Press, 2004). For other supplements and for more information about the book, please visit </w:t>
      </w:r>
      <w:hyperlink r:id="rId8">
        <w:r>
          <w:rPr>
            <w:rFonts w:ascii="Times New Roman" w:hAnsi="Times New Roman"/>
            <w:sz w:val="20"/>
            <w:b w:val="0"/>
            <w:color w:val="0563C1"/>
            <w:u w:val="single"/>
          </w:rPr>
          <w:t>Dinosauria supplemental materials website</w:t>
        </w:r>
      </w:hyperlink>
      <w:r>
        <w:rPr>
          <w:rFonts w:ascii="Times New Roman" w:hAnsi="Times New Roman"/>
          <w:b w:val="0"/>
          <w:color w:val="000000"/>
          <w:sz w:val="20"/>
          <w:lang w:val="en-US"/>
        </w:rPr>
        <w:t>.</w:t>
      </w:r>
    </w:p>
    <w:p>
      <w:pPr>
        <w:pStyle w:val="Footer"/>
        <w:tabs>
          <w:tab w:val="clear" w:pos="4320"/>
          <w:tab w:val="clear" w:pos="8640"/>
        </w:tabs>
        <w:spacing w:lineRule="auto" w:line="360"/>
        <w:rPr>
          <w:rFonts w:ascii="Times New Roman" w:hAnsi="Times New Roman" w:cs="Times New Roman"/>
        </w:rPr>
      </w:pPr>
      <w:r>
        <w:rPr>
          <w:rFonts w:cs="Times New Roman" w:ascii="Times New Roman" w:hAnsi="Times New Roman"/>
          <w:lang w:val="en-US"/>
        </w:rPr>
      </w:r>
    </w:p>
    <w:p>
      <w:pPr>
        <w:pStyle w:val="Footer"/>
        <w:tabs>
          <w:tab w:val="clear" w:pos="4320"/>
          <w:tab w:val="clear" w:pos="8640"/>
        </w:tabs>
        <w:spacing w:lineRule="auto" w:line="360"/>
        <w:rPr>
          <w:rFonts w:ascii="Times New Roman" w:hAnsi="Times New Roman" w:cs="Times New Roman"/>
        </w:rPr>
      </w:pPr>
      <w:r>
        <w:rPr>
          <w:rFonts w:cs="Times New Roman" w:ascii="Times New Roman" w:hAnsi="Times New Roman"/>
          <w:lang w:val="en-US"/>
        </w:rPr>
      </w:r>
    </w:p>
    <w:p>
      <w:pPr>
        <w:pStyle w:val="Heading1"/>
        <w:tabs>
          <w:tab w:val="clear" w:pos="4320"/>
          <w:tab w:val="clear" w:pos="8640"/>
        </w:tabs>
        <w:spacing w:lineRule="auto" w:line="360"/>
        <w:rPr>
          <w:rFonts w:ascii="Times New Roman" w:hAnsi="Times New Roman" w:cs="Times New Roman"/>
        </w:rPr>
      </w:pPr>
      <w:r>
        <w:rPr>
          <w:rFonts w:cs="Times New Roman" w:ascii="Times New Roman" w:hAnsi="Times New Roman"/>
          <w:lang w:val="en-US"/>
        </w:rPr>
        <w:t>Appendix 7.1</w:t>
      </w:r>
    </w:p>
    <w:p>
      <w:pPr>
        <w:pStyle w:val="Heading2"/>
        <w:spacing w:lineRule="auto" w:line="360"/>
        <w:rPr/>
      </w:pPr>
      <w:r>
        <w:rPr>
          <w:rFonts w:ascii="Times New Roman" w:hAnsi="Times New Roman"/>
          <w:lang w:val="en-US"/>
        </w:rPr>
        <w:t>Character Description</w:t>
      </w:r>
    </w:p>
    <w:p>
      <w:pPr>
        <w:pStyle w:val="Heading3"/>
        <w:spacing w:lineRule="auto" w:line="360"/>
        <w:rPr/>
      </w:pPr>
      <w:r>
        <w:rPr>
          <w:rFonts w:ascii="Times New Roman" w:hAnsi="Times New Roman"/>
          <w:lang w:val="en-US"/>
        </w:rPr>
        <w:t>Therizinosauroidea</w:t>
      </w:r>
    </w:p>
    <w:p>
      <w:pPr>
        <w:pStyle w:val="Normal"/>
        <w:spacing w:lineRule="auto" w:line="360"/>
        <w:rPr/>
      </w:pPr>
      <w:r>
        <w:rPr>
          <w:rFonts w:ascii="Times New Roman" w:hAnsi="Times New Roman"/>
          <w:lang w:val="en-US"/>
        </w:rPr>
      </w:r>
    </w:p>
    <w:p>
      <w:pPr>
        <w:pStyle w:val="Normal"/>
        <w:spacing w:lineRule="auto" w:line="360" w:after="80"/>
        <w:rPr/>
        <w:keepLines w:val="0"/>
        <w:numPr>
          <w:ilvl w:val="0"/>
          <w:numId w:val="2"/>
        </w:numPr>
      </w:pPr>
      <w:r>
        <w:rPr>
          <w:rFonts w:ascii="Times New Roman" w:hAnsi="Times New Roman"/>
          <w:lang w:val="en-US"/>
        </w:rPr>
        <w:t>Premaxilla without (0) or with (1) sharp, ventrally projecting rim around the buccal margin.</w:t>
      </w:r>
    </w:p>
    <w:p>
      <w:pPr>
        <w:pStyle w:val="Normal"/>
        <w:spacing w:lineRule="auto" w:line="360" w:after="80"/>
        <w:rPr/>
        <w:keepLines w:val="0"/>
        <w:numPr>
          <w:ilvl w:val="0"/>
          <w:numId w:val="2"/>
        </w:numPr>
      </w:pPr>
      <w:r>
        <w:rPr>
          <w:rFonts w:ascii="Times New Roman" w:hAnsi="Times New Roman"/>
          <w:lang w:val="en-US"/>
        </w:rPr>
        <w:t>External naris: subcircular in lateral view, bordered caudoventrally by the premaxilla or nasal (0), greatly elongate, bordered by the maxilla caudoventrally (1).</w:t>
      </w:r>
    </w:p>
    <w:p>
      <w:pPr>
        <w:pStyle w:val="Normal"/>
        <w:spacing w:lineRule="auto" w:line="360" w:after="80"/>
        <w:rPr/>
        <w:keepLines w:val="0"/>
        <w:numPr>
          <w:ilvl w:val="0"/>
          <w:numId w:val="2"/>
        </w:numPr>
      </w:pPr>
      <w:r>
        <w:rPr>
          <w:rFonts w:ascii="Times New Roman" w:hAnsi="Times New Roman"/>
          <w:lang w:val="en-US"/>
        </w:rPr>
        <w:t xml:space="preserve">Maxilla dorsal to tooth row: faces laterally (0), faces ventrolaterally (1). </w:t>
      </w:r>
    </w:p>
    <w:p>
      <w:pPr>
        <w:pStyle w:val="Normal"/>
        <w:spacing w:lineRule="auto" w:line="360" w:after="80"/>
        <w:rPr/>
        <w:keepLines w:val="0"/>
        <w:numPr>
          <w:ilvl w:val="0"/>
          <w:numId w:val="2"/>
        </w:numPr>
      </w:pPr>
      <w:r>
        <w:rPr>
          <w:rFonts w:ascii="Times New Roman" w:hAnsi="Times New Roman"/>
          <w:lang w:val="en-US"/>
        </w:rPr>
        <w:t>Prefrontal: small or absent (0), large, well exposed on skull roof (1).</w:t>
      </w:r>
    </w:p>
    <w:p>
      <w:pPr>
        <w:pStyle w:val="Normal"/>
        <w:spacing w:lineRule="auto" w:line="360" w:after="80"/>
        <w:rPr/>
        <w:keepLines w:val="0"/>
        <w:numPr>
          <w:ilvl w:val="0"/>
          <w:numId w:val="2"/>
        </w:numPr>
      </w:pPr>
      <w:r>
        <w:rPr>
          <w:rFonts w:ascii="Times New Roman" w:hAnsi="Times New Roman"/>
          <w:lang w:val="en-US"/>
        </w:rPr>
        <w:t>Edge of antorbital fossa: poorly developed rostrally, dorsally, and ventrally (0), well developed with tall rim (1).</w:t>
      </w:r>
    </w:p>
    <w:p>
      <w:pPr>
        <w:pStyle w:val="Normal"/>
        <w:spacing w:lineRule="auto" w:line="360" w:after="80"/>
        <w:rPr/>
        <w:keepLines w:val="0"/>
        <w:numPr>
          <w:ilvl w:val="0"/>
          <w:numId w:val="2"/>
        </w:numPr>
      </w:pPr>
      <w:r>
        <w:rPr>
          <w:rFonts w:ascii="Times New Roman" w:hAnsi="Times New Roman"/>
          <w:lang w:val="en-US"/>
        </w:rPr>
        <w:t>Vomers: contact pterygoid opposite the rostral end of the orbit or farther rostrally (0), greatly elongate, contacting rostrally reduced pterygoids opposite the middle of the orbit (1).</w:t>
      </w:r>
    </w:p>
    <w:p>
      <w:pPr>
        <w:pStyle w:val="Normal"/>
        <w:spacing w:lineRule="auto" w:line="360" w:after="80"/>
        <w:rPr/>
        <w:keepLines w:val="0"/>
        <w:numPr>
          <w:ilvl w:val="0"/>
          <w:numId w:val="2"/>
        </w:numPr>
      </w:pPr>
      <w:r>
        <w:rPr>
          <w:rFonts w:ascii="Times New Roman" w:hAnsi="Times New Roman"/>
          <w:lang w:val="en-US"/>
        </w:rPr>
        <w:t>Basicranium: without enlarged air spaces, ventral surface at about the same level as the basioccipital, and external acoustic meatus broadly open (0), greatly enlarged and pneumatized, constricting the external acoustic meatus ventrally (1).</w:t>
      </w:r>
    </w:p>
    <w:p>
      <w:pPr>
        <w:pStyle w:val="Normal"/>
        <w:spacing w:lineRule="auto" w:line="360" w:after="80"/>
        <w:rPr/>
        <w:keepLines w:val="0"/>
        <w:numPr>
          <w:ilvl w:val="0"/>
          <w:numId w:val="2"/>
        </w:numPr>
      </w:pPr>
      <w:r>
        <w:rPr>
          <w:rFonts w:ascii="Times New Roman" w:hAnsi="Times New Roman"/>
          <w:lang w:val="en-US"/>
        </w:rPr>
        <w:t>Dentary: without rim on the lateral surface (0), with rim forming a horizontal shelf lateral to the tooth row (1).</w:t>
      </w:r>
    </w:p>
    <w:p>
      <w:pPr>
        <w:pStyle w:val="Normal"/>
        <w:spacing w:lineRule="auto" w:line="360" w:after="80"/>
        <w:rPr/>
        <w:keepLines w:val="0"/>
        <w:numPr>
          <w:ilvl w:val="0"/>
          <w:numId w:val="2"/>
        </w:numPr>
      </w:pPr>
      <w:r>
        <w:rPr>
          <w:rFonts w:ascii="Times New Roman" w:hAnsi="Times New Roman"/>
          <w:lang w:val="en-US"/>
        </w:rPr>
        <w:t>Symphysial region of dentary: rostrocaudally narrow, no broader than the transverse width of the postsymphysial portion (0), or broader than the transverse width of the postsymphysial portion (1).</w:t>
      </w:r>
    </w:p>
    <w:p>
      <w:pPr>
        <w:pStyle w:val="Normal"/>
        <w:spacing w:lineRule="auto" w:line="360" w:after="80"/>
        <w:rPr/>
        <w:keepLines w:val="0"/>
        <w:numPr>
          <w:ilvl w:val="0"/>
          <w:numId w:val="2"/>
        </w:numPr>
      </w:pPr>
      <w:r>
        <w:rPr>
          <w:rFonts w:ascii="Times New Roman" w:hAnsi="Times New Roman"/>
          <w:lang w:val="en-US"/>
        </w:rPr>
        <w:t>Caudal end of dentary: rises sharply caudodorsally (0), rises gently (1), rises little, if at all (2). Ordered.</w:t>
      </w:r>
      <w:r>
        <w:rPr>
          <w:rFonts w:ascii="Times New Roman" w:hAnsi="Times New Roman"/>
          <w:b/>
          <w:lang w:val="en-US"/>
        </w:rPr>
        <w:t xml:space="preserve"> </w:t>
      </w:r>
    </w:p>
    <w:p>
      <w:pPr>
        <w:pStyle w:val="Normal"/>
        <w:spacing w:lineRule="auto" w:line="360" w:after="80"/>
        <w:rPr/>
        <w:keepLines w:val="0"/>
        <w:numPr>
          <w:ilvl w:val="0"/>
          <w:numId w:val="2"/>
        </w:numPr>
      </w:pPr>
      <w:r>
        <w:rPr>
          <w:rFonts w:ascii="Times New Roman" w:hAnsi="Times New Roman"/>
          <w:lang w:val="en-US"/>
        </w:rPr>
        <w:t>Coronoid: present (0), highly reduced (1), absent (2). Ordered.</w:t>
      </w:r>
    </w:p>
    <w:p>
      <w:pPr>
        <w:pStyle w:val="Normal"/>
        <w:spacing w:lineRule="auto" w:line="360" w:after="80"/>
        <w:rPr/>
        <w:keepLines w:val="0"/>
        <w:numPr>
          <w:ilvl w:val="0"/>
          <w:numId w:val="2"/>
        </w:numPr>
      </w:pPr>
      <w:r>
        <w:rPr>
          <w:rFonts w:ascii="Times New Roman" w:hAnsi="Times New Roman"/>
          <w:lang w:val="en-US"/>
        </w:rPr>
        <w:t>Dentary teeth: decrease in size rostrally or are homodont (0), increase in size rostrally (1).</w:t>
      </w:r>
    </w:p>
    <w:p>
      <w:pPr>
        <w:pStyle w:val="Normal"/>
        <w:spacing w:lineRule="auto" w:line="360" w:after="80"/>
        <w:rPr/>
        <w:keepLines w:val="0"/>
        <w:numPr>
          <w:ilvl w:val="0"/>
          <w:numId w:val="2"/>
        </w:numPr>
      </w:pPr>
      <w:r>
        <w:rPr>
          <w:rFonts w:ascii="Times New Roman" w:hAnsi="Times New Roman"/>
          <w:lang w:val="en-US"/>
        </w:rPr>
        <w:t>Dentary teeth serrations: small (0), large (Farlow et al. 1991) (1).</w:t>
      </w:r>
    </w:p>
    <w:p>
      <w:pPr>
        <w:pStyle w:val="Normal"/>
        <w:spacing w:lineRule="auto" w:line="360" w:after="80"/>
        <w:rPr/>
        <w:keepLines w:val="0"/>
        <w:numPr>
          <w:ilvl w:val="0"/>
          <w:numId w:val="2"/>
        </w:numPr>
      </w:pPr>
      <w:r>
        <w:rPr>
          <w:rFonts w:ascii="Times New Roman" w:hAnsi="Times New Roman"/>
          <w:lang w:val="en-US"/>
        </w:rPr>
        <w:t>Mesial dentary teeth: flattened and slightly recurved (0), straight and only slightly flattened (1).</w:t>
      </w:r>
    </w:p>
    <w:p>
      <w:pPr>
        <w:pStyle w:val="Normal"/>
        <w:spacing w:lineRule="auto" w:line="360" w:after="80"/>
        <w:rPr/>
        <w:keepLines w:val="0"/>
        <w:numPr>
          <w:ilvl w:val="0"/>
          <w:numId w:val="2"/>
        </w:numPr>
      </w:pPr>
      <w:r>
        <w:rPr>
          <w:rFonts w:ascii="Times New Roman" w:hAnsi="Times New Roman"/>
          <w:lang w:val="en-US"/>
        </w:rPr>
        <w:t>Number of dentary teeth: more than 37 (0), 31–36 (1), 24–30 (2). Ordered.</w:t>
      </w:r>
    </w:p>
    <w:p>
      <w:pPr>
        <w:pStyle w:val="Normal"/>
        <w:spacing w:lineRule="auto" w:line="360" w:after="80"/>
        <w:rPr/>
        <w:keepLines w:val="0"/>
        <w:numPr>
          <w:ilvl w:val="0"/>
          <w:numId w:val="2"/>
        </w:numPr>
      </w:pPr>
      <w:r>
        <w:rPr>
          <w:rFonts w:ascii="Times New Roman" w:hAnsi="Times New Roman"/>
          <w:lang w:val="en-US"/>
        </w:rPr>
        <w:t>Tooth row: continues to the rostral end of the dentary (0), symphysial region toothless (1).</w:t>
      </w:r>
    </w:p>
    <w:p>
      <w:pPr>
        <w:pStyle w:val="Normal"/>
        <w:spacing w:lineRule="auto" w:line="360" w:after="80"/>
        <w:rPr/>
        <w:keepLines w:val="0"/>
        <w:numPr>
          <w:ilvl w:val="0"/>
          <w:numId w:val="2"/>
        </w:numPr>
      </w:pPr>
      <w:r>
        <w:rPr>
          <w:rFonts w:ascii="Times New Roman" w:hAnsi="Times New Roman"/>
          <w:lang w:val="en-US"/>
        </w:rPr>
        <w:t>Maxillary and distal dentary teeth: recurved, with flattened roots (0), symmetrical in lateral view with cylindrical roots (1).</w:t>
      </w:r>
    </w:p>
    <w:p>
      <w:pPr>
        <w:pStyle w:val="Normal"/>
        <w:spacing w:lineRule="auto" w:line="360" w:after="80"/>
        <w:rPr/>
        <w:keepLines w:val="0"/>
        <w:numPr>
          <w:ilvl w:val="0"/>
          <w:numId w:val="2"/>
        </w:numPr>
      </w:pPr>
      <w:r>
        <w:rPr>
          <w:rFonts w:ascii="Times New Roman" w:hAnsi="Times New Roman"/>
          <w:lang w:val="en-US"/>
        </w:rPr>
        <w:t>Cranial and caudal cervical vertebrae: both amphiplatyan or amphicoelous (0), cranial cervicals procoelous, caudal cervicals opisthocoelous (1).</w:t>
      </w:r>
    </w:p>
    <w:p>
      <w:pPr>
        <w:pStyle w:val="Normal"/>
        <w:spacing w:lineRule="auto" w:line="360" w:after="80"/>
        <w:rPr/>
        <w:keepLines w:val="0"/>
        <w:numPr>
          <w:ilvl w:val="0"/>
          <w:numId w:val="2"/>
        </w:numPr>
      </w:pPr>
      <w:r>
        <w:rPr>
          <w:rFonts w:ascii="Times New Roman" w:hAnsi="Times New Roman"/>
          <w:lang w:val="en-US"/>
        </w:rPr>
        <w:t>Number of sacral vertebrae: five (0), six or more (1).</w:t>
      </w:r>
    </w:p>
    <w:p>
      <w:pPr>
        <w:pStyle w:val="Normal"/>
        <w:spacing w:lineRule="auto" w:line="360" w:after="80"/>
        <w:rPr/>
        <w:keepLines w:val="0"/>
        <w:numPr>
          <w:ilvl w:val="0"/>
          <w:numId w:val="2"/>
        </w:numPr>
      </w:pPr>
      <w:r>
        <w:rPr>
          <w:rFonts w:ascii="Times New Roman" w:hAnsi="Times New Roman"/>
          <w:lang w:val="en-US"/>
        </w:rPr>
        <w:t>Ossified interspinous ligaments above the sacrum: absent (0), present (1).</w:t>
      </w:r>
    </w:p>
    <w:p>
      <w:pPr>
        <w:pStyle w:val="Normal"/>
        <w:spacing w:lineRule="auto" w:line="360" w:after="80"/>
        <w:rPr/>
        <w:keepLines w:val="0"/>
        <w:numPr>
          <w:ilvl w:val="0"/>
          <w:numId w:val="2"/>
        </w:numPr>
      </w:pPr>
      <w:r>
        <w:rPr>
          <w:rFonts w:ascii="Times New Roman" w:hAnsi="Times New Roman"/>
          <w:lang w:val="en-US"/>
        </w:rPr>
        <w:t>Glenoid fossa of the scapulacoracoid: faces caudoventrally (0), faces laterally (1).</w:t>
      </w:r>
    </w:p>
    <w:p>
      <w:pPr>
        <w:pStyle w:val="Normal"/>
        <w:spacing w:lineRule="auto" w:line="360" w:after="80"/>
        <w:rPr/>
        <w:keepLines w:val="0"/>
        <w:numPr>
          <w:ilvl w:val="0"/>
          <w:numId w:val="2"/>
        </w:numPr>
      </w:pPr>
      <w:r>
        <w:rPr>
          <w:rFonts w:ascii="Times New Roman" w:hAnsi="Times New Roman"/>
          <w:lang w:val="en-US"/>
        </w:rPr>
        <w:t xml:space="preserve">Distal condyles of the humerus: on the distal end of the shaft (0), on cranial surface of the shaft (1). </w:t>
      </w:r>
    </w:p>
    <w:p>
      <w:pPr>
        <w:pStyle w:val="Normal"/>
        <w:spacing w:lineRule="auto" w:line="360" w:after="80"/>
        <w:rPr/>
        <w:keepLines w:val="0"/>
        <w:numPr>
          <w:ilvl w:val="0"/>
          <w:numId w:val="2"/>
        </w:numPr>
      </w:pPr>
      <w:r>
        <w:rPr>
          <w:rFonts w:ascii="Times New Roman" w:hAnsi="Times New Roman"/>
          <w:lang w:val="en-US"/>
        </w:rPr>
        <w:t>Humerus: without sharply pointed tubercle on the caudomedial surface midshaft (0), tubercle present (1).</w:t>
      </w:r>
    </w:p>
    <w:p>
      <w:pPr>
        <w:pStyle w:val="Normal"/>
        <w:spacing w:lineRule="auto" w:line="360" w:after="80"/>
        <w:rPr/>
        <w:keepLines w:val="0"/>
        <w:numPr>
          <w:ilvl w:val="0"/>
          <w:numId w:val="2"/>
        </w:numPr>
      </w:pPr>
      <w:r>
        <w:rPr>
          <w:rFonts w:ascii="Times New Roman" w:hAnsi="Times New Roman"/>
          <w:lang w:val="en-US"/>
        </w:rPr>
        <w:t>Deltopectoral crest: less than one-third the length of the bone (0), one-third the length of the bone or longer (1), more than half the length of the bone (2). Ordered.</w:t>
      </w:r>
    </w:p>
    <w:p>
      <w:pPr>
        <w:pStyle w:val="Normal"/>
        <w:spacing w:lineRule="auto" w:line="360" w:after="80"/>
        <w:rPr/>
        <w:keepLines w:val="0"/>
        <w:numPr>
          <w:ilvl w:val="0"/>
          <w:numId w:val="2"/>
        </w:numPr>
      </w:pPr>
      <w:r>
        <w:rPr>
          <w:rFonts w:ascii="Times New Roman" w:hAnsi="Times New Roman"/>
          <w:lang w:val="en-US"/>
        </w:rPr>
        <w:t xml:space="preserve">Distal carpals: single, large semilunate carpal capping metacarpals I and II (0), two large distal carpals, one capping metacarpal I, the other capping metacarpal II, the medial one semilunate (1), two flattened distal carpals neither of which is semilunate (2). </w:t>
      </w:r>
    </w:p>
    <w:p>
      <w:pPr>
        <w:pStyle w:val="Normal"/>
        <w:spacing w:lineRule="auto" w:line="360" w:after="80"/>
        <w:rPr>
          <w:b/>
        </w:rPr>
        <w:keepLines w:val="0"/>
        <w:numPr>
          <w:ilvl w:val="0"/>
          <w:numId w:val="2"/>
        </w:numPr>
      </w:pPr>
      <w:r>
        <w:rPr>
          <w:rFonts w:ascii="Times New Roman" w:hAnsi="Times New Roman"/>
          <w:lang w:val="en-US"/>
        </w:rPr>
        <w:t>Distal carpals: separate (0), partially fused to metacarpals I and II (1).</w:t>
      </w:r>
    </w:p>
    <w:p>
      <w:pPr>
        <w:pStyle w:val="Normal"/>
        <w:spacing w:lineRule="auto" w:line="360" w:after="80"/>
        <w:rPr/>
        <w:keepLines w:val="0"/>
        <w:numPr>
          <w:ilvl w:val="0"/>
          <w:numId w:val="2"/>
        </w:numPr>
      </w:pPr>
      <w:r>
        <w:rPr>
          <w:rFonts w:ascii="Times New Roman" w:hAnsi="Times New Roman"/>
          <w:lang w:val="en-US"/>
        </w:rPr>
        <w:t>Ligament pits on the distal ends of the manual phalanges: present (0), greatly reduced or absent (1).</w:t>
      </w:r>
    </w:p>
    <w:p>
      <w:pPr>
        <w:pStyle w:val="Normal"/>
        <w:spacing w:lineRule="auto" w:line="360" w:after="80"/>
        <w:rPr/>
        <w:keepLines w:val="0"/>
        <w:numPr>
          <w:ilvl w:val="0"/>
          <w:numId w:val="2"/>
        </w:numPr>
      </w:pPr>
      <w:r>
        <w:rPr>
          <w:rFonts w:ascii="Times New Roman" w:hAnsi="Times New Roman"/>
          <w:lang w:val="en-US"/>
        </w:rPr>
        <w:t>Unguals of the manus: broad (0), more compressed mediolaterally (1).</w:t>
      </w:r>
    </w:p>
    <w:p>
      <w:pPr>
        <w:pStyle w:val="Normal"/>
        <w:spacing w:lineRule="auto" w:line="360" w:after="80"/>
        <w:rPr/>
        <w:keepLines w:val="0"/>
        <w:numPr>
          <w:ilvl w:val="0"/>
          <w:numId w:val="2"/>
        </w:numPr>
      </w:pPr>
      <w:r>
        <w:rPr>
          <w:rFonts w:ascii="Times New Roman" w:hAnsi="Times New Roman"/>
          <w:lang w:val="en-US"/>
        </w:rPr>
        <w:t>Unguals of the manus: no more than twice the length of the penultimate phalanx, curved along the ventral edge (0), greatly elongate, more than three times the length of the penultimate phalanx, and only slightly curved on the ventral edge (1).</w:t>
      </w:r>
    </w:p>
    <w:p>
      <w:pPr>
        <w:pStyle w:val="Normal"/>
        <w:spacing w:lineRule="auto" w:line="360" w:after="80"/>
        <w:rPr>
          <w:b/>
        </w:rPr>
        <w:keepLines w:val="0"/>
        <w:numPr>
          <w:ilvl w:val="0"/>
          <w:numId w:val="2"/>
        </w:numPr>
      </w:pPr>
      <w:r>
        <w:rPr>
          <w:rFonts w:ascii="Times New Roman" w:hAnsi="Times New Roman"/>
          <w:lang w:val="en-US"/>
        </w:rPr>
        <w:t xml:space="preserve">Preacetabular part of the pelvis: not greatly expanded ventrally, similar to the postacetabular part (0), expanded ventrally (1). </w:t>
      </w:r>
    </w:p>
    <w:p>
      <w:pPr>
        <w:pStyle w:val="Normal"/>
        <w:spacing w:lineRule="auto" w:line="360" w:after="80"/>
        <w:rPr/>
        <w:keepLines w:val="0"/>
        <w:numPr>
          <w:ilvl w:val="0"/>
          <w:numId w:val="2"/>
        </w:numPr>
      </w:pPr>
      <w:r>
        <w:rPr>
          <w:rFonts w:ascii="Times New Roman" w:hAnsi="Times New Roman"/>
          <w:lang w:val="en-US"/>
        </w:rPr>
        <w:t xml:space="preserve">Preacetabular part of the pelvis similar in length to (0), longer than(1), or much longer than (2) the postacetabular part. Ordered. </w:t>
      </w:r>
    </w:p>
    <w:p>
      <w:pPr>
        <w:pStyle w:val="Normal"/>
        <w:spacing w:lineRule="auto" w:line="360" w:after="80"/>
        <w:rPr/>
        <w:keepLines w:val="0"/>
        <w:numPr>
          <w:ilvl w:val="0"/>
          <w:numId w:val="2"/>
        </w:numPr>
      </w:pPr>
      <w:r>
        <w:rPr>
          <w:rFonts w:ascii="Times New Roman" w:hAnsi="Times New Roman"/>
          <w:lang w:val="en-US"/>
        </w:rPr>
        <w:t>Pubis: cranioventrally oriented (0), caudoventrally directed, the pubic peduncle of the ilium caudoventrally elongate (1).</w:t>
      </w:r>
    </w:p>
    <w:p>
      <w:pPr>
        <w:pStyle w:val="Normal"/>
        <w:spacing w:lineRule="auto" w:line="360" w:after="80"/>
        <w:rPr/>
        <w:keepLines w:val="0"/>
        <w:numPr>
          <w:ilvl w:val="0"/>
          <w:numId w:val="2"/>
        </w:numPr>
      </w:pPr>
      <w:r>
        <w:rPr>
          <w:rFonts w:ascii="Times New Roman" w:hAnsi="Times New Roman"/>
          <w:lang w:val="en-US"/>
        </w:rPr>
        <w:t>Pubis and ischium contact: brief beneath the acetabulum (0), broad (1).</w:t>
      </w:r>
    </w:p>
    <w:p>
      <w:pPr>
        <w:pStyle w:val="Normal"/>
        <w:spacing w:lineRule="auto" w:line="360" w:after="80"/>
        <w:rPr/>
        <w:keepLines w:val="0"/>
        <w:numPr>
          <w:ilvl w:val="0"/>
          <w:numId w:val="2"/>
        </w:numPr>
      </w:pPr>
      <w:r>
        <w:rPr>
          <w:rFonts w:ascii="Times New Roman" w:hAnsi="Times New Roman"/>
          <w:lang w:val="en-US"/>
        </w:rPr>
        <w:t>Obturator process of the ischium: small or absent (0), long, contacting the pubis (1).</w:t>
      </w:r>
    </w:p>
    <w:p>
      <w:pPr>
        <w:pStyle w:val="Normal"/>
        <w:spacing w:lineRule="auto" w:line="360" w:after="80"/>
        <w:rPr/>
        <w:keepLines w:val="0"/>
        <w:numPr>
          <w:ilvl w:val="0"/>
          <w:numId w:val="2"/>
        </w:numPr>
      </w:pPr>
      <w:r>
        <w:rPr>
          <w:rFonts w:ascii="Times New Roman" w:hAnsi="Times New Roman"/>
          <w:lang w:val="en-US"/>
        </w:rPr>
        <w:t>Pubic shaft: cylindrical (0), mediolaterally flattened (1).</w:t>
      </w:r>
    </w:p>
    <w:p>
      <w:pPr>
        <w:pStyle w:val="Normal"/>
        <w:spacing w:lineRule="auto" w:line="360" w:after="80"/>
        <w:rPr/>
        <w:keepLines w:val="0"/>
        <w:numPr>
          <w:ilvl w:val="0"/>
          <w:numId w:val="2"/>
        </w:numPr>
      </w:pPr>
      <w:r>
        <w:rPr>
          <w:rFonts w:ascii="Times New Roman" w:hAnsi="Times New Roman"/>
          <w:lang w:val="en-US"/>
        </w:rPr>
        <w:t>Ascending process of the astragalus covers all (0) or only part of (1) the distal end of the tibia.</w:t>
      </w:r>
    </w:p>
    <w:p>
      <w:pPr>
        <w:pStyle w:val="Normal"/>
        <w:spacing w:lineRule="auto" w:line="360" w:after="80"/>
        <w:rPr/>
        <w:keepLines w:val="0"/>
        <w:numPr>
          <w:ilvl w:val="0"/>
          <w:numId w:val="2"/>
        </w:numPr>
      </w:pPr>
      <w:r>
        <w:rPr>
          <w:rFonts w:ascii="Times New Roman" w:hAnsi="Times New Roman"/>
          <w:lang w:val="en-US"/>
        </w:rPr>
        <w:t>Metatarsals: elongate, metatarsals II–IV together much longer than wide (0), short and broad, metatarsals II–IV less than twice as long as they are together broad (1).</w:t>
      </w:r>
    </w:p>
    <w:p>
      <w:pPr>
        <w:pStyle w:val="Normal"/>
        <w:spacing w:lineRule="auto" w:line="360" w:after="80"/>
        <w:rPr/>
        <w:keepLines w:val="0"/>
        <w:numPr>
          <w:ilvl w:val="0"/>
          <w:numId w:val="2"/>
        </w:numPr>
      </w:pPr>
      <w:r>
        <w:rPr>
          <w:rFonts w:ascii="Times New Roman" w:hAnsi="Times New Roman"/>
          <w:lang w:val="en-US"/>
        </w:rPr>
        <w:t>Proximal end of metatarsal I: compressed mediolaterally, does not contact the tarsus (0), more fully developed, but with a flat lateral surface (1), fully developed, the lateral edge convex like the medial edge (2). Ordered.</w:t>
      </w:r>
    </w:p>
    <w:p>
      <w:pPr>
        <w:pStyle w:val="Normal"/>
        <w:spacing w:lineRule="auto" w:line="360" w:after="80"/>
        <w:rPr/>
        <w:keepLines w:val="0"/>
        <w:numPr>
          <w:ilvl w:val="0"/>
          <w:numId w:val="2"/>
        </w:numPr>
      </w:pPr>
      <w:r>
        <w:rPr>
          <w:rFonts w:ascii="Times New Roman" w:hAnsi="Times New Roman"/>
          <w:lang w:val="en-US"/>
        </w:rPr>
        <w:t>Proximal part of metatarsals II and III: mediolaterally compressed (0), fully developed (1).</w:t>
      </w:r>
    </w:p>
    <w:p>
      <w:pPr>
        <w:pStyle w:val="Normal"/>
        <w:spacing w:lineRule="auto" w:line="360" w:after="80"/>
        <w:rPr/>
        <w:keepLines w:val="0"/>
        <w:numPr>
          <w:ilvl w:val="0"/>
          <w:numId w:val="2"/>
        </w:numPr>
      </w:pPr>
      <w:r>
        <w:rPr>
          <w:rFonts w:ascii="Times New Roman" w:hAnsi="Times New Roman"/>
          <w:lang w:val="en-US"/>
        </w:rPr>
        <w:t>Ungual of pedal digits III–IV: equal in length to or slightly longer than the penultimate phalanx (0), twice as long or more than the penultimate phalanx (1).</w:t>
      </w:r>
    </w:p>
    <w:p>
      <w:pPr>
        <w:pStyle w:val="Normal"/>
        <w:spacing w:lineRule="auto" w:line="360"/>
        <w:rPr/>
      </w:pPr>
      <w:r>
        <w:rPr>
          <w:rFonts w:ascii="Times New Roman" w:hAnsi="Times New Roman"/>
          <w:lang w:val="en-US"/>
        </w:rPr>
      </w:r>
    </w:p>
    <w:p>
      <w:pPr>
        <w:pStyle w:val="Normal"/>
        <w:spacing w:lineRule="auto" w:line="360"/>
        <w:rPr/>
      </w:pPr>
      <w:r>
        <w:rPr>
          <w:rFonts w:ascii="Times New Roman" w:hAnsi="Times New Roman"/>
          <w:lang w:val="en-US"/>
        </w:rPr>
      </w:r>
    </w:p>
    <w:sectPr>
      <w:headerReference w:type="default" r:id="rId2"/>
      <w:footerReference w:type="default" r:id="rId7"/>
      <w:type w:val="nextPage"/>
      <w:pgSz w:w="12240" w:h="15840"/>
      <w:pgMar w:left="1440" w:right="1440" w:gutter="0" w:header="504" w:top="1440" w:footer="504"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New Century Schlbk">
    <w:altName w:val="Times New Roman"/>
    <w:charset w:val="00"/>
    <w:family w:val="auto"/>
    <w:pitch w:val="variable"/>
  </w:font>
  <w:font w:name="Liberation Sans">
    <w:altName w:val="Arial"/>
    <w:charset w:val="01"/>
    <w:family w:val="swiss"/>
    <w:pitch w:val="variable"/>
  </w:font>
  <w:font w:name="Times">
    <w:altName w:val="Times New Roman"/>
    <w:charset w:val="00"/>
    <w:family w:val="auto"/>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8"/>
        <w:lang w:val="en-US"/>
      </w:rPr>
      <w:t xml:space="preserve">Page </w:t>
    </w:r>
    <w:fldSimple w:instr="PAGE">
      <w:r>
        <w:rPr>
          <w:sz w:val="18"/>
        </w:rPr>
        <w:t>1</w:t>
      </w:r>
    </w:fldSimple>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right" w:pos="5400" w:leader="none"/>
      </w:tabs>
      <w:rPr>
        <w:sz w:val="20"/>
      </w:rPr>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abstractNum w:abstractNumId="2">
    <w:multiLevelType w:val="singleLevel"/>
    <w:lvl w:ilvl="0">
      <w:start w:val="1"/>
      <w:numFmt w:val="decimal"/>
      <w:lvlText w:val="%1."/>
      <w:suff w:val="space"/>
      <w:pPr>
        <w:tabs>
          <w:tab w:val="num" w:pos="480"/>
        </w:tabs>
        <w:ind w:left="480" w:hanging="360"/>
      </w:pPr>
    </w:lvl>
  </w:abstract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sz w:val="24"/>
        <w:szCs w:val="24"/>
        <w:lang w:val="en-US" w:eastAsia="en-US" w:bidi="en-US"/>
      </w:rPr>
    </w:rPrDefault>
    <w:pPrDefault>
      <w:pPr>
        <w:suppressAutoHyphens w:val="true"/>
      </w:pPr>
    </w:pPrDefault>
  </w:docDefaults>
  <w:style w:type="paragraph" w:styleId="Normal">
    <w:name w:val="Normal"/>
    <w:qFormat/>
    <w:pPr>
      <w:widowControl/>
      <w:bidi w:val="0"/>
      <w:spacing w:after="100" w:line="259" w:lineRule="auto"/>
    </w:pPr>
    <w:rPr>
      <w:rFonts w:ascii="Times New Roman" w:hAnsi="Times New Roman" w:eastAsia="Times New Roman" w:cs="Times New Roman"/>
      <w:b w:val="0"/>
      <w:color w:val="000000"/>
      <w:sz w:val="22"/>
      <w:szCs w:val="20"/>
      <w:lang w:val="en-US" w:eastAsia="zh-CN" w:bidi="hi-IN"/>
    </w:rPr>
  </w:style>
  <w:style w:type="paragraph" w:styleId="Heading1">
    <w:name w:val="heading 1"/>
    <w:basedOn w:val="Normal"/>
    <w:next w:val="Normal"/>
    <w:qFormat/>
    <w:pPr>
      <w:keepNext/>
      <w:numPr>
        <w:ilvl w:val="0"/>
        <w:numId w:val="1"/>
      </w:numPr>
      <w:spacing w:lineRule="atLeast" w:line="480" w:before="200" w:after="80"/>
      <w:ind w:hanging="425" w:start="425" w:end="0"/>
      <w:outlineLvl w:val="0"/>
    </w:pPr>
    <w:rPr>
      <w:rFonts w:ascii="Times New Roman" w:hAnsi="Times New Roman" w:cs="New Century Schlbk;Times New Roman"/>
      <w:b/>
      <w:i/>
      <w:color w:val="7A1F1F"/>
      <w:sz w:val="32"/>
    </w:rPr>
  </w:style>
  <w:style w:type="character" w:styleId="DefaultParagraphFont">
    <w:name w:val="Default Paragraph Font"/>
    <w:qFormat/>
    <w:rPr/>
  </w:style>
  <w:style w:type="character" w:styleId="PageNumber">
    <w:name w:val="page number"/>
    <w:basedOn w:val="DefaultParagraphFont"/>
    <w:rPr/>
  </w:style>
  <w:style w:type="character" w:styleId="CommentReference">
    <w:name w:val="Comment Reference"/>
    <w:basedOn w:val="DefaultParagraphFont"/>
    <w:qFormat/>
    <w:rPr>
      <w:sz w:val="16"/>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BodyTextIndent">
    <w:name w:val="Body Text Indent"/>
    <w:basedOn w:val="Normal"/>
    <w:pPr>
      <w:spacing w:lineRule="atLeast" w:line="480"/>
      <w:ind w:hanging="425" w:start="425" w:end="0"/>
    </w:pPr>
    <w:rPr>
      <w:rFonts w:ascii="New Century Schlbk;Times New Roman" w:hAnsi="New Century Schlbk;Times New Roman" w:cs="New Century Schlbk;Times New Roman"/>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Normal"/>
    <w:pPr>
      <w:tabs>
        <w:tab w:val="clear" w:pos="720"/>
        <w:tab w:val="center" w:pos="4320" w:leader="none"/>
        <w:tab w:val="right" w:pos="8640" w:leader="none"/>
      </w:tabs>
    </w:pPr>
    <w:rPr>
      <w:rFonts w:ascii="Times" w:hAnsi="Times" w:cs="Times"/>
    </w:rPr>
  </w:style>
  <w:style w:type="paragraph" w:styleId="Header">
    <w:name w:val="header"/>
    <w:basedOn w:val="Normal"/>
    <w:pPr>
      <w:tabs>
        <w:tab w:val="clear" w:pos="720"/>
        <w:tab w:val="center" w:pos="4320" w:leader="none"/>
        <w:tab w:val="right" w:pos="8640" w:leader="none"/>
      </w:tabs>
    </w:pPr>
    <w:rPr/>
  </w:style>
  <w:style w:type="paragraph" w:styleId="CommentText">
    <w:name w:val="Comment Text"/>
    <w:basedOn w:val="Normal"/>
    <w:qFormat/>
    <w:pPr/>
    <w:rPr>
      <w:sz w:val="20"/>
    </w:rPr>
  </w:style>
  <w:style w:type="paragraph" w:customStyle="1" w:styleId="Heading2">
    <w:name w:val="heading 2"/>
    <w:pPr>
      <w:keepNext/>
      <w:spacing w:before="160" w:after="60"/>
    </w:pPr>
    <w:rPr>
      <w:rFonts w:ascii="Times New Roman" w:hAnsi="Times New Roman"/>
      <w:b/>
      <w:color w:val="7A1F1F"/>
      <w:sz w:val="28"/>
    </w:rPr>
  </w:style>
  <w:style w:type="paragraph" w:customStyle="1" w:styleId="Heading3">
    <w:name w:val="heading 3"/>
    <w:pPr>
      <w:keepNext/>
      <w:spacing w:before="120" w:after="100"/>
    </w:pPr>
    <w:rPr>
      <w:rFonts w:ascii="Times New Roman" w:hAnsi="Times New Roman"/>
      <w:b/>
      <w:color w:val="7A1F1F"/>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footer" Target="footer1.xml"/><Relationship Id="rId8" Type="http://schemas.openxmlformats.org/officeDocument/2006/relationships/hyperlink" Target="http://dinosauria.ucpress.edu" TargetMode="Externa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2004-11-23T16:03:00Z</dcterms:created>
  <dc:creator>Dave Weishampel</dc:creator>
  <dc:description>Accessibility-remediated edition with semantic headings, lists, and tables.</dc:description>
  <dc:language>en-US</dc:language>
  <cp:lastModifiedBy>John Connolly</cp:lastModifiedBy>
  <dcterms:modified xsi:type="dcterms:W3CDTF">2004-11-24T15:13:00Z</dcterms:modified>
  <cp:revision>3</cp:revision>
  <dc:subject>Accessible supplement to Dinosauria, second edition</dc:subject>
  <dc:title>Appendix 7.1 — Character Description — Therizinosauroidea</dc:title>
  <cp:keywords>Dinosauria; paleontology; character descriptions; character-taxon matrix; accessible Word document</cp:keywords>
</cp:coreProperties>
</file>