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4320"/>
          <w:tab w:val="clear" w:pos="8640"/>
        </w:tabs>
        <w:spacing w:lineRule="auto" w:line="360" w:after="200"/>
        <w:rPr/>
      </w:pPr>
      <w:r>
        <w:rPr>
          <w:rFonts w:ascii="Times New Roman" w:hAnsi="Times New Roman"/>
          <w:b w:val="0"/>
          <w:color w:val="000000"/>
          <w:sz w:val="20"/>
          <w:lang w:val="en-US"/>
        </w:rPr>
        <w:t xml:space="preserve">This document is a supplement to Dinosauria, second edition, edited by David B. Weishampel, Peter Dodson, and Halszka Osmolska (Berkeley: University of California Press, 2004). For other supplements and for more information about the book, please visit </w:t>
      </w:r>
      <w:hyperlink r:id="rId8">
        <w:r>
          <w:rPr>
            <w:rFonts w:ascii="Times New Roman" w:hAnsi="Times New Roman"/>
            <w:sz w:val="20"/>
            <w:b w:val="0"/>
            <w:color w:val="0563C1"/>
            <w:u w:val="single"/>
          </w:rPr>
          <w:t>Dinosauria supplemental materials website</w:t>
        </w:r>
      </w:hyperlink>
      <w:r>
        <w:rPr>
          <w:rFonts w:ascii="Times New Roman" w:hAnsi="Times New Roman"/>
          <w:b w:val="0"/>
          <w:color w:val="000000"/>
          <w:sz w:val="20"/>
          <w:lang w:val="en-US"/>
        </w:rPr>
        <w:t>.</w:t>
      </w:r>
    </w:p>
    <w:p>
      <w:pPr>
        <w:pStyle w:val="Header"/>
        <w:tabs>
          <w:tab w:val="clear" w:pos="4320"/>
          <w:tab w:val="clear" w:pos="8640"/>
        </w:tabs>
        <w:spacing w:lineRule="auto" w:line="360"/>
        <w:rPr/>
      </w:pPr>
      <w:r>
        <w:rPr>
          <w:rFonts w:ascii="Times New Roman" w:hAnsi="Times New Roman"/>
          <w:lang w:val="en-US"/>
        </w:rPr>
      </w:r>
    </w:p>
    <w:p>
      <w:pPr>
        <w:pStyle w:val="Header"/>
        <w:tabs>
          <w:tab w:val="clear" w:pos="4320"/>
          <w:tab w:val="clear" w:pos="8640"/>
        </w:tabs>
        <w:spacing w:lineRule="auto" w:line="360"/>
        <w:rPr/>
      </w:pPr>
      <w:r>
        <w:rPr>
          <w:rFonts w:ascii="Times New Roman" w:hAnsi="Times New Roman"/>
          <w:lang w:val="en-US"/>
        </w:rPr>
      </w:r>
    </w:p>
    <w:p>
      <w:pPr>
        <w:pStyle w:val="Heading1"/>
        <w:tabs>
          <w:tab w:val="clear" w:pos="4320"/>
          <w:tab w:val="clear" w:pos="8640"/>
        </w:tabs>
        <w:spacing w:lineRule="auto" w:line="360"/>
        <w:rPr/>
      </w:pPr>
      <w:r>
        <w:rPr>
          <w:rFonts w:ascii="Times New Roman" w:hAnsi="Times New Roman"/>
          <w:lang w:val="en-US"/>
        </w:rPr>
        <w:t>Appendix 8.1</w:t>
      </w:r>
    </w:p>
    <w:p>
      <w:pPr>
        <w:pStyle w:val="Heading2"/>
        <w:spacing w:lineRule="auto" w:line="360"/>
        <w:rPr>
          <w:lang w:val="pl-PL"/>
        </w:rPr>
      </w:pPr>
      <w:r>
        <w:rPr>
          <w:rFonts w:ascii="Times New Roman" w:hAnsi="Times New Roman"/>
          <w:lang w:val="en-US"/>
        </w:rPr>
        <w:t>Character Description</w:t>
      </w:r>
    </w:p>
    <w:p>
      <w:pPr>
        <w:pStyle w:val="Heading3"/>
        <w:spacing w:lineRule="auto" w:line="360"/>
        <w:rPr>
          <w:lang w:val="pl-PL"/>
        </w:rPr>
      </w:pPr>
      <w:r>
        <w:rPr>
          <w:rFonts w:ascii="Times New Roman" w:hAnsi="Times New Roman"/>
          <w:lang w:val="en-US"/>
        </w:rPr>
        <w:t>Oviraptorosauria</w:t>
      </w:r>
    </w:p>
    <w:p>
      <w:pPr>
        <w:pStyle w:val="Normal"/>
        <w:spacing w:lineRule="auto" w:line="360"/>
        <w:rPr/>
      </w:pPr>
      <w:r>
        <w:rPr>
          <w:rFonts w:ascii="Times New Roman" w:hAnsi="Times New Roman"/>
          <w:lang w:val="en-US"/>
        </w:rPr>
        <w:t>The following characters are either derived from the literature (Gauthier 1986; Clark et al. 1994b, 2001; Holtz 1994, 1998a; Russell and Dong 1993a; Chiappe et al. 1996; Novas 1996a; Sues 1997; Ji et al. 1998; Makovicky and Sues 1998; Elżanowski 1999; Sereno 1999a; Xu et al. 1999a,b, 2002c; Norell et al. 2000; Maryańska et al. 2002) and modified where appropriate, or they are new.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Ratio of the preorbital skull length to the basal skull length: 0.6 or more (0), 0.5 or less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Pneumatized crestlike prominence on the skull roof: absent (0), present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Ratio of the width (across premaxilla-maxilla suture) of the snout to its length: less than 0.3 (0), 0.3–0.4 (1), 0.5 or more (2).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Ratio of the length of the tomial margin of the premaxilla to the premaxilla height (below the external naris): 1.0–1.4 (0), more than 1.7 (1), 0.7 or less (2).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 xml:space="preserve">Inclination of the rostroventral margin of the premaxilla relative to the horizontally positioned ventral margin of the jugal: vertical (0), caudodorsal (1), rostrodorsal (2). 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Ventral projection of the premaxilla below the ventral margin of the maxilla: absent (0), small (1), significant (2).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Share of the premaxilla (ventral) in the basal skull length: 0.10 or less (0), 0.12 or more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Pneumatization of the premaxilla: absent (0), present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Ratio of the length of the maxilla (in lateral view) to the basal skull length: 0.4–0.7 (0), ca. 0.3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Subantorbital portion of the maxilla: not inset medially (0), inset medially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Palatal shelf of the maxilla with two longitudinal ridges and a toothlike ventral process: absent (0), present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</w:r>
      <w:r>
        <w:rPr>
          <w:rFonts w:ascii="Times New Roman" w:hAnsi="Times New Roman"/>
          <w:b/>
          <w:lang w:val="en-US"/>
        </w:rPr>
      </w:r>
      <w:r>
        <w:rPr>
          <w:rFonts w:ascii="Times New Roman" w:hAnsi="Times New Roman"/>
          <w:lang w:val="en-US"/>
        </w:rPr>
        <w:t>Ventral margins of</w:t>
      </w:r>
      <w:r>
        <w:rPr>
          <w:rFonts w:ascii="Times New Roman" w:hAnsi="Times New Roman"/>
          <w:b/>
          <w:lang w:val="en-US"/>
        </w:rPr>
        <w:t xml:space="preserve"> </w:t>
      </w:r>
      <w:r>
        <w:rPr>
          <w:rFonts w:ascii="Times New Roman" w:hAnsi="Times New Roman"/>
          <w:lang w:val="en-US"/>
        </w:rPr>
        <w:t>maxilla</w:t>
      </w:r>
      <w:r>
        <w:rPr>
          <w:rFonts w:ascii="Times New Roman" w:hAnsi="Times New Roman"/>
          <w:b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and jugal: margins form a straight line (0), the ventral margin of the maxilla slopes rostroventrally, its longitudinal axis at an angle of ca. 120° to the longitudinal axis of the jugal (1). </w:t>
        <w:tab/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Rim around antorbital fossa: well pronounced (0), poorly delimited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Antorbital fossa: bordered rostrally by the maxilla (0), bordered rostrally by the premaxilla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Accessory maxillary fenestrae: absent (0), at least one accessory fenestra present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Nasal along midline: longer than frontal (0), shorter than or as long as the frontal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</w:r>
      <w:r>
        <w:rPr>
          <w:rFonts w:ascii="Times New Roman" w:hAnsi="Times New Roman"/>
          <w:b/>
          <w:lang w:val="en-US"/>
        </w:rPr>
      </w:r>
      <w:r>
        <w:rPr>
          <w:rFonts w:ascii="Times New Roman" w:hAnsi="Times New Roman"/>
          <w:lang w:val="en-US"/>
        </w:rPr>
        <w:t>Nasals: separate (0), fused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 xml:space="preserve">Subnarial process of the nasal: long (0), short (1). 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Shape of the narial opening: longitudinally oval (0), teardrop-shaped, slightly longer than wide (1), much longer than wide (2).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Nasal recesses: absent (0), present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External naris position relative to the antorbital fossa: naris and fossa widely separated (0), caudal margin of the naris reaching the fossa (1), overlapping rostrodorsally most of the fossa (2).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Ventral margin of the external naris: at the level of the maxilla (0), dorsal to the maxilla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Prefrontal: present (0), absent or fused with the lacrimal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Lacrimal shaft: not projecting outward beyond the orbital plane and lateral surface of the snout (0), the medial part of the shaft projecting laterally to form a flattened transverse bar in front of the eye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Lacrimal recesses: absent (0), present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Ratio of the length of the orbit to the length of the antorbital fossa: 0.7–0.9 (0), 1.2 or more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Ratio of the ;length of the parietal to the length of the frontal: 0.6 or less (0), 1.0 or more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Pneumatization of skull-roof bones: absent (0), present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Sagittal crest along the interparietal contact: absent (0), present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Supratemporal fossa: invading the frontal (0), not invading the frontal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Infratemporal fenestra: dorsoventrally elongate, narrow rostrocaudally (0), subquadrate, its rostrocaudal length comparable to the orbital length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 xml:space="preserve">Pneumatization of the squamosal: absent (0), present (1). 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</w:r>
      <w:r>
        <w:rPr>
          <w:rFonts w:ascii="Times New Roman" w:hAnsi="Times New Roman"/>
          <w:b/>
          <w:lang w:val="en-US"/>
        </w:rPr>
      </w:r>
      <w:r>
        <w:rPr>
          <w:rFonts w:ascii="Times New Roman" w:hAnsi="Times New Roman"/>
          <w:lang w:val="en-US"/>
        </w:rPr>
        <w:t>Cotylelike</w:t>
      </w:r>
      <w:r>
        <w:rPr>
          <w:rFonts w:ascii="Times New Roman" w:hAnsi="Times New Roman"/>
          <w:b/>
          <w:lang w:val="en-US"/>
        </w:rPr>
        <w:t xml:space="preserve"> </w:t>
      </w:r>
      <w:r>
        <w:rPr>
          <w:rFonts w:ascii="Times New Roman" w:hAnsi="Times New Roman"/>
          <w:lang w:val="en-US"/>
        </w:rPr>
        <w:t>incision on the ventrolateral margin of the squamosal (for reception of the dorsal end of the ascending process of the quadratojugal):</w:t>
      </w:r>
      <w:r>
        <w:rPr>
          <w:rFonts w:ascii="Times New Roman" w:hAnsi="Times New Roman"/>
          <w:b/>
          <w:lang w:val="en-US"/>
        </w:rPr>
        <w:t xml:space="preserve"> </w:t>
      </w:r>
      <w:r>
        <w:rPr>
          <w:rFonts w:ascii="Times New Roman" w:hAnsi="Times New Roman"/>
          <w:lang w:val="en-US"/>
        </w:rPr>
        <w:t>absent (0), present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Ventral ramus of the jugal: deep dorsoventrally and flattened lateromedially (0), shallow dorsoventrally or rod-shaped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</w:r>
      <w:r>
        <w:rPr>
          <w:rFonts w:ascii="Times New Roman" w:hAnsi="Times New Roman"/>
          <w:b/>
          <w:lang w:val="en-US"/>
        </w:rPr>
      </w:r>
      <w:r>
        <w:rPr>
          <w:rFonts w:ascii="Times New Roman" w:hAnsi="Times New Roman"/>
          <w:lang w:val="en-US"/>
        </w:rPr>
        <w:t>Jugal process of the postorbital: not extending ventrally below two-thirds of the orbit height (0), long, extending ventrally close to the base of the postorbital process of the jugal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</w:r>
      <w:r>
        <w:rPr>
          <w:rFonts w:ascii="Times New Roman" w:hAnsi="Times New Roman"/>
          <w:b/>
          <w:lang w:val="en-US"/>
        </w:rPr>
      </w:r>
      <w:r>
        <w:rPr>
          <w:rFonts w:ascii="Times New Roman" w:hAnsi="Times New Roman"/>
          <w:lang w:val="en-US"/>
        </w:rPr>
        <w:t xml:space="preserve">Postorbital process of the jugal: dorsocaudally inclined (0), perpendicular to the ventral ramus of the jugal (1), absent (2). 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Jugal-postorbital contact: present (0), absent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Quadratojugal process of the jugal in lateral view: forked (0), not forked (1), fused with the quadratojugal (2).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Quadratojugal-squamosal contact: absent (0), present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Ascending (squamosal) process of the quadratojugal: bordering ca. the ventral half, or less, of the infratemporal fenestra (0), bordering the ventral two-thirds or more of the infratemporal fenestra (1), absent (2).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</w:r>
      <w:r>
        <w:rPr>
          <w:rFonts w:ascii="Times New Roman" w:hAnsi="Times New Roman"/>
          <w:b/>
          <w:lang w:val="en-US"/>
        </w:rPr>
      </w:r>
      <w:r>
        <w:rPr>
          <w:rFonts w:ascii="Times New Roman" w:hAnsi="Times New Roman"/>
          <w:lang w:val="en-US"/>
        </w:rPr>
        <w:t>Angle between the ascending and jugal processes of the quadratojugal: ca. 90° (0), less than 90°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</w:r>
      <w:r>
        <w:rPr>
          <w:rFonts w:ascii="Times New Roman" w:hAnsi="Times New Roman"/>
          <w:b/>
          <w:lang w:val="en-US"/>
        </w:rPr>
      </w:r>
      <w:r>
        <w:rPr>
          <w:rFonts w:ascii="Times New Roman" w:hAnsi="Times New Roman"/>
          <w:lang w:val="en-US"/>
        </w:rPr>
        <w:t>Quadrate process of the quadratojugal: well developed, extending caudally or caudoventrally beyond the caudal margin of the ascending process (0), not extending beyond the caudal margin of the ascending process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Dorsal part of the quadrate: erect (0), bent backward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Otic process of the quadrate: articulating only with the squamosal (0), articulating with the squamosal and the lateral wall of the braincase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Pneumatization of the quadrate: absent (0), present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Lateral accessory process on the distal end of the quadrate for articulation with the quadratojugal: absent (0), present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Lateral cotyle for the quadratojugal on the quadrate: absent (0), present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Mandibular condyles of quadrate: caudal to the occipital condyle (0), in the same vertical plane as the occipital condyle (1), rostral to the occipital condyle (2).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Nuchal transverse crest: pronounced (0), not pronounced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</w:r>
      <w:r>
        <w:rPr>
          <w:rFonts w:ascii="Times New Roman" w:hAnsi="Times New Roman"/>
          <w:b/>
          <w:lang w:val="en-US"/>
        </w:rPr>
      </w:r>
      <w:r>
        <w:rPr>
          <w:rFonts w:ascii="Times New Roman" w:hAnsi="Times New Roman"/>
          <w:lang w:val="en-US"/>
        </w:rPr>
        <w:t>Occiput position in relation to the ventral margin of the jugal-quadratojugal bar: about perpendicular (0), inclined rostrodorsally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Paroccipital process: directed laterally (0), directed ventrally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Foramen magnum: smaller than or equal in size to the occipital condyle (0), larger than the occipital condyle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Basal tubera: modestly pronounced (0), well developed, widely separated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Pneumatization of the basisphenoid: weak or absent (0), extensive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Basipterygoid processes: well developed (0), strongly reduced (1), absent (2).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Parasphenoid rostrum: horizontal or rostrodorsally directed (0), sloping rostroventrally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Depression in the periotic region: absent (0), present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Pneumatization of the periotic region: absent or weak (0), extensive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Quadrate ramus of the pterygoid: distant from the braincase wall (0), overlapping the braincase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Pterygoid basal process for contact with the basisphenoid: absent (0), present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Ectopterygoid position: lateral to the pterygoid (0), rostral to the pterygoid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Ectopterygoid contacts with the maxilla and lacrimal: absent (0), present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Ectopterygoid: short rostrocaudally with a hooklike jugal process (0), elongate, shaped like a Viking ship, without a hooklike process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Massive pterygoid-ectopterygoid longitudinal bar: absent (0), present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Palate extending below the cheek margin: absent (0), present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Palatine: tetraradiate or trapezoid (0), triradiate, without a jugal process (1), developed in horizontal, longitudinal, and transverse planes perpendicular to each other (2).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Pterygoid wing of the palatine: dorsal to the pterygoid (0), ventral to the pterygoid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Maxillary process of the palatine: shorter than the vomeral process (0), longer than the vomeral process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Vomer: distant from the parasphenoid rostrum (0), approaching or in contact with the parasphenoid rostrum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Suborbital (ectopterygoid-palatine) fenestra: well developed (0), closed or reduced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Jaw joint: distant from the midline of the skull (0), close to the skull midline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Movable intramandibular joint: present (0), suppressed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Mandibular symphysis: loose (0), tightly sutured (1), fused (2).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Extended symphyseal shelf at the mandibular symphysis: absent (0), present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Downturned symphyseal portion of the dentary: absent (0), present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U-shaped mandibular symphysis: absent (0), present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Ratio of the length of the retroarticular process to the total mandibular length: less than 0.05 or the process absent (0), ca. 0.10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Ratio of the maximum height of the mandible to the mandibular length: ca. 0.2 (0), ca. 0.1 (1), 0.3–0.4 (2).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Ratio of the height of the external mandibular fenestra to the length of the fenestra: 0.2–0.5 (0), 0.7–1.0 (1), fenestra absent (2).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Ratio of the length of the external mandibular fenestra to total mandibular length: 0.15–0.20 (0), not more than 0.10 or fenestra absent (1), 0.25 or more (2).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</w:r>
      <w:r>
        <w:rPr>
          <w:rFonts w:ascii="Times New Roman" w:hAnsi="Times New Roman"/>
          <w:b/>
          <w:lang w:val="en-US"/>
        </w:rPr>
      </w:r>
      <w:r>
        <w:rPr>
          <w:rFonts w:ascii="Times New Roman" w:hAnsi="Times New Roman"/>
          <w:lang w:val="en-US"/>
        </w:rPr>
        <w:t>Process of the surangular dividing the external mandibular fenestra: absent (0), long (1), short (2).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Co-ossification of the articular with the surangular: absent (0), present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Mandibular rami in dorsal view: straight (0), laterally bowed at midlength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Rostrodorsal margin of the dentary: straight (0), concave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Caudal margin of the dentary: incised, producing two caudal processes (0), oblique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Caudodorsal process of the dentary long and shallow: present (0), absent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Caudoventral process of the dentary shallow and long, extending caudally at least to the caudal border of the external mandibular fenestra: absent (0), present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Coronoid eminence: absent (0), present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Surangular foramen: present (0), absent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Mandibular articular facet for the quadrate: comprising the surangular and the articular (0), formed exclusively of the articular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Mandibular articular facet for the quadrate: with one or two cotyles (0), convex in lateral view, transversely wide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Position of the articular facet for the quadrate: below the level of the adjoining dorsal margin of the mandibular ramus (0), above this margin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Rostral part of the prearticular: deep, approaching the dorsal margin of the mandible (0), shallow, straplike, not approaching the dorsal mandibular margin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Splenial: subtriangular, approaching the dorsal mandibular margin (0), straplike, shallow, not approaching the margin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Mandibular adductor fossa: rostrally delimited, occupying the caudal part of the mandible (0), large, rostrally and dorsally extended, not delimited rostrally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Coronoid bone: well developed (0), strongly reduced (1), absent (2).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Premaxillary teeth: present (0), absent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Maxillary tooth row: extends at least to the level of the preorbital bar (0), does not reach the level of the preorbital bar (1), maxillary teeth absent (2).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Dentary teeth: present (0), absent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Number of cervicals (excluding cervicodorsal): not more than 10 (0), more than 10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Cranial articular facets of the centra in the cranial postaxial cervicals: not inclined or only slightly inclined (0), strongly inclined caudoventrally, almost continuous with the ventral surfaces of the centra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Centra of the cranial cervicals: not extending caudally beyond their respective neural arches (0), extending caudally beyond their respective neural arches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Epipophyses on the postaxial cervicals: in the form of a low crest or rugosity (0), prong-shaped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Cervical ribs in adults: loosely attached to vertebrae (0), firmly attached (1) or fused (2).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Shafts of cervical ribs: longer than their respective centra (0), not longer than their respective centra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Pleurocoels on the dorsal centra: absent (0), present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</w:r>
      <w:r>
        <w:rPr>
          <w:rFonts w:ascii="Times New Roman" w:hAnsi="Times New Roman"/>
          <w:b/>
          <w:lang w:val="en-US"/>
        </w:rPr>
      </w:r>
      <w:r>
        <w:rPr>
          <w:rFonts w:ascii="Times New Roman" w:hAnsi="Times New Roman"/>
          <w:lang w:val="en-US"/>
        </w:rPr>
        <w:t>Ossified uncinate processes on the dorsal ribs: absent (0), present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Number of vertebrae included in the synsacrum in adults: not more than 5 (0), 6 (1), 7–8 (2).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Sacral spines in adults: unfused (0), fused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Pleurocoels on the sacral centra: absent (0), present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Transition point on the caudals: absent (0), present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Number of caudals with transverse processes: 15 or more (0), fewer than 15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Pleurocoels on the caudal centra: absent (0), present at least in the proximal part of the tail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Neural spines confined to: at least 23 proximal caudals (0), at most 16 proximal caudals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Number of caudals: more than 35 (0), 30 or fewer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Distal caudal prezygapophyses: overlapping less than half (0) or at least half (1) of the centrum of the preceding vertebra.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Hypapophyses in the cervicodorsal vertebral region: absent (0), small (1), prominent (2).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Distal chevrons: deeper than long (0), longer than deep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Ratio of the length of the scapula to the length of the humerus: 0.8–1.1 (0), 1.2 or more (1), 0.7 or less (2).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Acromion: projecting dorsally (0), projecting cranially (1), everted laterally (2).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Caudoventral process of the coracoid: absent or short, not extending beyond the glenoid diameter (0), long, caudoventrally extending beyond the glenoid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Orientation of the glenoid on the pectoral girdle: caudoventral (0), lateral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Deltopectoral crest: low, its width equal to, or smaller than, the shaft diameter (0), expanded, wider than the shaft diameter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Extent of the celtopectoral crest (measured from the humeral head to apex): about the proximal third of the humerus length or less (0), ca. 40%–50% of the humerus length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Shaft of the ulna: straight (0), bowed, convex caudally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Ratio of the length of the radius to the length of the humerus: 0.80 or less (0), 0.85 or more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Combined lengths of manual phalanges III-1 and III-2: greater than the length of phalanx III-3 (0), less than or equal to the length of phalanx III-3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Ratio of the length of metacarpal I to the length of metacarpal II: 0.5 or more (0), less than 0.5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Proximal margin of metacarpal I in dorsal view: straight, horizontal (0), angled due to a medial extent of carpal trochlea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 xml:space="preserve">Metacarpal II relative to metacarpal III: shorter (0), longer (1), subequal (2). 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Ratio of the length of metacarpal II to the length of the humerus: 0.4 or less (0), more than 0.4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Ratio of the length of the manus to the length of the humerus plus the radius: 0.50–0.65 (0), more than 0.65 (1), less than 0.50 (2).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Ratio of the length of the manus to the length of the femur: 0.3–0.6 (0), more than 0.7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Ratio of the length of the humerus to the length of the femur: 0.5–0.6 (0), 0.7 or more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Dorsal margins of opposite iliac blades: well separated from each other (0), close to or contacting each other along their medial sections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Dorsal margin of the ilium along the central portion of the blade: straight (0), arched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Preacetabular process of the ilium relative to the postacetabular process (lengths measured from the center of the acetabulum): shorter or equal (0), longer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Preacetabular process: not expanded or weakly expanded ventrally below the level of the dorsal acetabular margin (0), expanded ventrally well below the level of the dorsal acetabular margin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Morphology of the ventral margin of the preacetabular process: cuppedicus fossa absent, margin transversely narrow (0), cuppedicus fossa or a wide shelf present (1), margin flat, wide at least close to the pubic peduncle (2).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Cranioventral extension of the preacetabular process: absent (0), with rounded tip (1), hooklike (2).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Distal end of the postacetabular process: truncated or broadly rounded (0), narrowed or acuminate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Craniocaudal length of the pubic peduncle: about the same as that of the ischial peduncle (0), distinctly greater than that of the ischial peduncle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Dorsoventral extension of the pubic peduncle: level with the ischial peduncle (0), deeper than the ischial peduncle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Ratio of the length of the ilium to the length of the femur: 0.5–0.7 (0), 0.8 or more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Pelvis: propubic (0), mesopubic (1), opisthopubic (2).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Pubic shaft: straight (0), concave cranially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Pubic foot: cranial and caudal processes about equally long (0), cranial process absent or shorter than the caudal process (1), cranial process longer than the caudal process (2).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Caudal margin of the ischial shaft: straight, or almost straight (0), distinctly concave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Greater trochanter of the femur: weakly separated, or not separated, from the femoral head (0), distinctly separated from the femoral head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Cranial and greater trochanters: separated (0), contacting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Dorsal extremity of the cranial trochanter: well below the greater trochanter (0), about level with the greater trochanter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Fourth trochanter: well developed (0), weakly developed or absent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Adductor fossa and the associated craniomedial crest on the distal femur: weak or absent (0), well developed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Distal projection of the fibular condyle of the femur beyond the tibial condyle: absent (0), present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Ascending process of the astragalus: as tall as wide across the base (0), taller than wide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Distal tarsals: not fused with the metatarsus (0), fused with the metatarsus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Proximal co-ossification of metatarsals II–IV: absent (0), present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Arctometatarsus: absent (0), present (1).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Length of metatarsal I constituting: more than 50% of metatarsal II length (0), less than 50% of metatarsal II length (1), metatarsal I absent (2).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Ratio of the maximum length of the metatarsus to the length of the femur: 0.4–0.6 (0), ca. 0.3 (1), 0.7–0.8 (2).</w:t>
      </w:r>
    </w:p>
    <w:p>
      <w:pPr>
        <w:pStyle w:val="Normal"/>
        <w:spacing w:lineRule="auto" w:line="360" w:after="80"/>
        <w:rPr/>
        <w:keepLines w:val="0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Crenulated tomial margin of the premaxilla: absent (0), present (1).</w:t>
      </w:r>
    </w:p>
    <w:p>
      <w:pPr>
        <w:pStyle w:val="Normal"/>
        <w:spacing w:lineRule="auto" w:line="360"/>
        <w:rPr/>
      </w:pPr>
      <w:r>
        <w:rPr>
          <w:rFonts w:ascii="Times New Roman" w:hAnsi="Times New Roman"/>
          <w:lang w:val="en-US"/>
        </w:rPr>
      </w:r>
    </w:p>
    <w:p>
      <w:pPr>
        <w:pStyle w:val="Normal"/>
        <w:spacing w:lineRule="auto" w:line="360"/>
        <w:rPr/>
      </w:pPr>
      <w:r>
        <w:rPr>
          <w:rFonts w:ascii="Times New Roman" w:hAnsi="Times New Roman"/>
          <w:lang w:val="en-US"/>
        </w:rPr>
      </w:r>
    </w:p>
    <w:p>
      <w:pPr>
        <w:pStyle w:val="Normal"/>
        <w:spacing w:lineRule="auto" w:line="360"/>
        <w:rPr/>
      </w:pPr>
      <w:r>
        <w:rPr>
          <w:rFonts w:ascii="Times New Roman" w:hAnsi="Times New Roman"/>
          <w:lang w:val="en-US"/>
        </w:rPr>
      </w:r>
    </w:p>
    <w:p>
      <w:pPr>
        <w:pStyle w:val="Normal"/>
        <w:spacing w:lineRule="auto" w:line="360"/>
        <w:rPr/>
      </w:pPr>
      <w:r>
        <w:rPr>
          <w:rFonts w:ascii="Times New Roman" w:hAnsi="Times New Roman"/>
          <w:lang w:val="en-US"/>
        </w:rPr>
      </w:r>
    </w:p>
    <w:sectPr>
      <w:headerReference w:type="default" r:id="rId2"/>
      <w:footerReference w:type="default" r:id="rId7"/>
      <w:type w:val="nextPage"/>
      <w:pgSz w:w="12240" w:h="15840"/>
      <w:pgMar w:left="1440" w:right="1440" w:gutter="0" w:header="504" w:top="1440" w:footer="504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sz w:val="18"/>
        <w:lang w:val="en-US"/>
      </w:rPr>
      <w:t xml:space="preserve">Page </w:t>
    </w:r>
    <w:fldSimple w:instr="PAGE">
      <w:r>
        <w:rPr>
          <w:sz w:val="18"/>
        </w:rPr>
        <w:t>1</w:t>
      </w:r>
    </w:fldSimple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clear" w:pos="4320"/>
        <w:tab w:val="right" w:pos="5400" w:leader="none"/>
      </w:tabs>
      <w:rPr>
        <w:sz w:val="20"/>
      </w:rPr>
    </w:pP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pStyle w:val="Heading3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abstractNum w:abstractNumId="2">
    <w:multiLevelType w:val="singleLevel"/>
    <w:lvl w:ilvl="0">
      <w:start w:val="1"/>
      <w:numFmt w:val="decimal"/>
      <w:lvlText w:val="%1."/>
      <w:suff w:val="space"/>
      <w:pPr>
        <w:tabs>
          <w:tab w:val="num" w:pos="480"/>
        </w:tabs>
        <w:ind w:left="480" w:hanging="360"/>
      </w:pPr>
    </w:lvl>
  </w:abstract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" w:cs="Noto Sans"/>
        <w:sz w:val="24"/>
        <w:szCs w:val="24"/>
        <w:lang w:val="en-US" w:eastAsia="en-US" w:bidi="en-US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after="100" w:line="259" w:lineRule="auto"/>
    </w:pPr>
    <w:rPr>
      <w:rFonts w:ascii="Times New Roman" w:hAnsi="Times New Roman" w:eastAsia="Times New Roman" w:cs="Times New Roman"/>
      <w:b w:val="0"/>
      <w:color w:val="000000"/>
      <w:sz w:val="22"/>
      <w:szCs w:val="20"/>
      <w:lang w:val="en-US" w:eastAsia="zh-CN" w:bidi="hi-IN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spacing w:lineRule="auto" w:line="360" w:before="120" w:after="100"/>
      <w:outlineLvl w:val="2"/>
    </w:pPr>
    <w:rPr>
      <w:rFonts w:ascii="Times New Roman" w:hAnsi="Times New Roman"/>
      <w:b/>
      <w:color w:val="7A1F1F"/>
      <w:sz w:val="24"/>
    </w:rPr>
  </w:style>
  <w:style w:type="character" w:styleId="DefaultParagraphFont">
    <w:name w:val="Default Paragraph Font"/>
    <w:qFormat/>
    <w:rPr/>
  </w:style>
  <w:style w:type="character" w:styleId="CommentReference">
    <w:name w:val="Comment Reference"/>
    <w:basedOn w:val="DefaultParagraphFont"/>
    <w:qFormat/>
    <w:rPr>
      <w:sz w:val="16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BodyText3">
    <w:name w:val="Body Text 3"/>
    <w:basedOn w:val="Normal"/>
    <w:qFormat/>
    <w:pPr/>
    <w:rPr>
      <w:sz w:val="22"/>
      <w:lang w:val="pl-PL"/>
    </w:rPr>
  </w:style>
  <w:style w:type="paragraph" w:styleId="BodyTextIndent">
    <w:name w:val="Body Text Indent"/>
    <w:basedOn w:val="Normal"/>
    <w:pPr>
      <w:widowControl w:val="false"/>
      <w:tabs>
        <w:tab w:val="left" w:pos="-1440" w:leader="none"/>
        <w:tab w:val="left" w:pos="-720" w:leader="none"/>
        <w:tab w:val="left" w:pos="0" w:leader="none"/>
        <w:tab w:val="left" w:pos="283" w:leader="none"/>
        <w:tab w:val="left" w:pos="720" w:leader="none"/>
        <w:tab w:val="left" w:pos="1440" w:leader="none"/>
        <w:tab w:val="left" w:pos="2160" w:leader="none"/>
        <w:tab w:val="left" w:pos="2880" w:leader="none"/>
        <w:tab w:val="left" w:pos="3600" w:leader="none"/>
        <w:tab w:val="left" w:pos="4320" w:leader="none"/>
        <w:tab w:val="left" w:pos="5040" w:leader="none"/>
        <w:tab w:val="left" w:pos="5760" w:leader="none"/>
        <w:tab w:val="left" w:pos="6480" w:leader="none"/>
        <w:tab w:val="left" w:pos="7200" w:leader="none"/>
        <w:tab w:val="left" w:pos="7920" w:leader="none"/>
        <w:tab w:val="left" w:pos="8640" w:leader="none"/>
        <w:tab w:val="left" w:pos="9360" w:leader="none"/>
        <w:tab w:val="left" w:pos="10080" w:leader="none"/>
        <w:tab w:val="left" w:pos="10800" w:leader="none"/>
      </w:tabs>
      <w:ind w:hanging="283" w:start="283" w:end="0"/>
    </w:pPr>
    <w:rPr>
      <w:sz w:val="22"/>
    </w:rPr>
  </w:style>
  <w:style w:type="paragraph" w:styleId="CommentText">
    <w:name w:val="Comment Text"/>
    <w:basedOn w:val="Normal"/>
    <w:qFormat/>
    <w:pPr/>
    <w:rPr>
      <w:sz w:val="20"/>
    </w:rPr>
  </w:style>
  <w:style w:type="paragraph" w:styleId="HeaderandFooter">
    <w:name w:val="Header and Footer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20"/>
        <w:tab w:val="center" w:pos="4320" w:leader="none"/>
        <w:tab w:val="right" w:pos="8640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320" w:leader="none"/>
        <w:tab w:val="right" w:pos="8640" w:leader="none"/>
      </w:tabs>
    </w:pPr>
    <w:rPr/>
  </w:style>
  <w:style w:type="paragraph" w:customStyle="1" w:styleId="Heading1">
    <w:name w:val="heading 1"/>
    <w:pPr>
      <w:keepNext/>
      <w:spacing w:before="200" w:after="80"/>
    </w:pPr>
    <w:rPr>
      <w:rFonts w:ascii="Times New Roman" w:hAnsi="Times New Roman"/>
      <w:b/>
      <w:color w:val="7A1F1F"/>
      <w:sz w:val="32"/>
    </w:rPr>
  </w:style>
  <w:style w:type="paragraph" w:customStyle="1" w:styleId="Heading2">
    <w:name w:val="heading 2"/>
    <w:pPr>
      <w:keepNext/>
      <w:spacing w:before="160" w:after="60"/>
    </w:pPr>
    <w:rPr>
      <w:rFonts w:ascii="Times New Roman" w:hAnsi="Times New Roman"/>
      <w:b/>
      <w:color w:val="7A1F1F"/>
      <w:sz w:val="28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footer" Target="footer1.xml"/><Relationship Id="rId8" Type="http://schemas.openxmlformats.org/officeDocument/2006/relationships/hyperlink" Target="http://dinosauria.ucpress.edu" TargetMode="Externa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LibreOfficeDev/26.8.0.0.alpha0$Linux_X86_64 LibreOffice_project/2c87e51eeaa2b413ff4ae097b2705eea1995d8e5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2004-11-23T15:58:00Z</dcterms:created>
  <dc:creator>Dave Weishampel</dc:creator>
  <dc:description>Accessibility-remediated edition with semantic headings, lists, and tables.</dc:description>
  <dc:language>en-US</dc:language>
  <cp:lastModifiedBy>John Connolly</cp:lastModifiedBy>
  <dcterms:modified xsi:type="dcterms:W3CDTF">2004-11-24T15:13:00Z</dcterms:modified>
  <cp:revision>3</cp:revision>
  <dc:subject>Accessible supplement to Dinosauria, second edition</dc:subject>
  <dc:title>Appendix 8.1 — Character Description — Oviraptorosauria</dc:title>
  <cp:keywords>Dinosauria; paleontology; character descriptions; character-taxon matrix; accessible Word document</cp:keywords>
</cp:coreProperties>
</file>